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BCEE" w14:textId="71A426C5" w:rsidR="00896230" w:rsidRPr="003A4403" w:rsidRDefault="00EF41E5" w:rsidP="00896230">
      <w:pPr>
        <w:pStyle w:val="P68B1DB1-Normalny1"/>
        <w:spacing w:after="0" w:line="240" w:lineRule="auto"/>
        <w:jc w:val="center"/>
        <w:rPr>
          <w:sz w:val="20"/>
        </w:rPr>
      </w:pPr>
      <w:r w:rsidRPr="00E349A1">
        <w:rPr>
          <w:sz w:val="22"/>
          <w:szCs w:val="22"/>
        </w:rPr>
        <w:t xml:space="preserve">Conditions for participation in the </w:t>
      </w:r>
      <w:r w:rsidR="00896230" w:rsidRPr="00E349A1">
        <w:rPr>
          <w:sz w:val="22"/>
          <w:szCs w:val="22"/>
        </w:rPr>
        <w:t>6</w:t>
      </w:r>
      <w:r w:rsidRPr="00E349A1">
        <w:rPr>
          <w:sz w:val="22"/>
          <w:szCs w:val="22"/>
          <w:vertAlign w:val="superscript"/>
        </w:rPr>
        <w:t>th</w:t>
      </w:r>
      <w:r w:rsidRPr="00E349A1">
        <w:rPr>
          <w:sz w:val="22"/>
          <w:szCs w:val="22"/>
        </w:rPr>
        <w:t xml:space="preserve"> edition of </w:t>
      </w:r>
      <w:proofErr w:type="spellStart"/>
      <w:r w:rsidRPr="00E349A1">
        <w:rPr>
          <w:sz w:val="22"/>
          <w:szCs w:val="22"/>
        </w:rPr>
        <w:t>MiniGrants</w:t>
      </w:r>
      <w:proofErr w:type="spellEnd"/>
      <w:r w:rsidR="00896230" w:rsidRPr="00E349A1">
        <w:rPr>
          <w:sz w:val="22"/>
          <w:szCs w:val="22"/>
        </w:rPr>
        <w:t xml:space="preserve"> and </w:t>
      </w:r>
      <w:proofErr w:type="spellStart"/>
      <w:r w:rsidR="00896230" w:rsidRPr="00E349A1">
        <w:rPr>
          <w:sz w:val="22"/>
          <w:szCs w:val="22"/>
        </w:rPr>
        <w:t>FemFund’s</w:t>
      </w:r>
      <w:proofErr w:type="spellEnd"/>
      <w:r w:rsidR="00896230" w:rsidRPr="00E349A1">
        <w:rPr>
          <w:sz w:val="22"/>
          <w:szCs w:val="22"/>
        </w:rPr>
        <w:t xml:space="preserve"> priorities</w:t>
      </w:r>
    </w:p>
    <w:p w14:paraId="174B161F" w14:textId="77777777" w:rsidR="00896230" w:rsidRPr="003A4403" w:rsidRDefault="00896230" w:rsidP="00896230">
      <w:pPr>
        <w:pStyle w:val="P68B1DB1-Normalny1"/>
        <w:spacing w:after="0" w:line="240" w:lineRule="auto"/>
        <w:jc w:val="center"/>
        <w:rPr>
          <w:sz w:val="20"/>
        </w:rPr>
      </w:pPr>
    </w:p>
    <w:p w14:paraId="4230D726" w14:textId="48CDFE9B" w:rsidR="00896230" w:rsidRPr="003A4403" w:rsidRDefault="00896230" w:rsidP="00896230">
      <w:pPr>
        <w:pStyle w:val="Akapitzlist"/>
        <w:numPr>
          <w:ilvl w:val="0"/>
          <w:numId w:val="7"/>
        </w:numPr>
        <w:spacing w:after="0" w:line="240" w:lineRule="auto"/>
        <w:rPr>
          <w:rFonts w:ascii="PT Serif" w:hAnsi="PT Serif"/>
          <w:b/>
          <w:bCs/>
          <w:sz w:val="20"/>
        </w:rPr>
      </w:pPr>
      <w:r w:rsidRPr="003A4403">
        <w:rPr>
          <w:rFonts w:ascii="PT Serif" w:hAnsi="PT Serif"/>
          <w:b/>
          <w:bCs/>
          <w:sz w:val="20"/>
        </w:rPr>
        <w:t>Conditions of participation in the 6</w:t>
      </w:r>
      <w:r w:rsidRPr="003A4403">
        <w:rPr>
          <w:rFonts w:ascii="PT Serif" w:hAnsi="PT Serif"/>
          <w:b/>
          <w:bCs/>
          <w:sz w:val="20"/>
          <w:vertAlign w:val="superscript"/>
        </w:rPr>
        <w:t>th</w:t>
      </w:r>
      <w:r w:rsidRPr="003A4403">
        <w:rPr>
          <w:rFonts w:ascii="PT Serif" w:hAnsi="PT Serif"/>
          <w:b/>
          <w:bCs/>
          <w:sz w:val="20"/>
        </w:rPr>
        <w:t xml:space="preserve"> edition of the </w:t>
      </w:r>
      <w:proofErr w:type="spellStart"/>
      <w:r w:rsidRPr="003A4403">
        <w:rPr>
          <w:rFonts w:ascii="PT Serif" w:hAnsi="PT Serif"/>
          <w:b/>
          <w:bCs/>
          <w:sz w:val="20"/>
        </w:rPr>
        <w:t>MiniGrants</w:t>
      </w:r>
      <w:proofErr w:type="spellEnd"/>
      <w:r w:rsidRPr="003A4403">
        <w:rPr>
          <w:rFonts w:ascii="PT Serif" w:hAnsi="PT Serif"/>
          <w:b/>
          <w:bCs/>
          <w:sz w:val="20"/>
        </w:rPr>
        <w:t xml:space="preserve">. Who can apply for a </w:t>
      </w:r>
      <w:proofErr w:type="spellStart"/>
      <w:r w:rsidRPr="003A4403">
        <w:rPr>
          <w:rFonts w:ascii="PT Serif" w:hAnsi="PT Serif"/>
          <w:b/>
          <w:bCs/>
          <w:sz w:val="20"/>
        </w:rPr>
        <w:t>MiniGrant</w:t>
      </w:r>
      <w:proofErr w:type="spellEnd"/>
      <w:r w:rsidRPr="003A4403">
        <w:rPr>
          <w:rFonts w:ascii="PT Serif" w:hAnsi="PT Serif"/>
          <w:b/>
          <w:bCs/>
          <w:sz w:val="20"/>
        </w:rPr>
        <w:t>?</w:t>
      </w:r>
    </w:p>
    <w:p w14:paraId="3C725A5F" w14:textId="5A427289" w:rsidR="00095010" w:rsidRPr="003A4403" w:rsidRDefault="00EF41E5" w:rsidP="00896230">
      <w:pPr>
        <w:spacing w:before="240"/>
        <w:rPr>
          <w:rFonts w:ascii="PT Serif" w:hAnsi="PT Serif"/>
          <w:sz w:val="20"/>
        </w:rPr>
      </w:pPr>
      <w:r w:rsidRPr="003A4403">
        <w:rPr>
          <w:rFonts w:ascii="PT Serif" w:hAnsi="PT Serif"/>
          <w:sz w:val="20"/>
        </w:rPr>
        <w:t xml:space="preserve">The following may apply for </w:t>
      </w:r>
      <w:proofErr w:type="spellStart"/>
      <w:r w:rsidRPr="003A4403">
        <w:rPr>
          <w:rFonts w:ascii="PT Serif" w:hAnsi="PT Serif"/>
          <w:sz w:val="20"/>
        </w:rPr>
        <w:t>MiniGrant</w:t>
      </w:r>
      <w:proofErr w:type="spellEnd"/>
      <w:r w:rsidRPr="003A4403">
        <w:rPr>
          <w:rFonts w:ascii="PT Serif" w:hAnsi="PT Serif"/>
          <w:sz w:val="20"/>
        </w:rPr>
        <w:t>:</w:t>
      </w:r>
    </w:p>
    <w:p w14:paraId="0A01BA7E" w14:textId="6277608F" w:rsidR="00095010" w:rsidRPr="003A4403" w:rsidRDefault="00EF41E5">
      <w:pPr>
        <w:pStyle w:val="P68B1DB1-Akapitzlist3"/>
        <w:numPr>
          <w:ilvl w:val="0"/>
          <w:numId w:val="2"/>
        </w:numPr>
        <w:rPr>
          <w:sz w:val="20"/>
        </w:rPr>
      </w:pPr>
      <w:r w:rsidRPr="003A4403">
        <w:rPr>
          <w:sz w:val="20"/>
        </w:rPr>
        <w:t xml:space="preserve">informal groups and collectives of </w:t>
      </w:r>
      <w:r w:rsidRPr="003A4403">
        <w:rPr>
          <w:b/>
          <w:sz w:val="20"/>
        </w:rPr>
        <w:t>at least 3 persons</w:t>
      </w:r>
      <w:r w:rsidRPr="003A4403">
        <w:rPr>
          <w:sz w:val="20"/>
        </w:rPr>
        <w:t>,</w:t>
      </w:r>
    </w:p>
    <w:p w14:paraId="7F5C2E4A" w14:textId="137A3A8D" w:rsidR="00095010" w:rsidRPr="003A4403" w:rsidRDefault="00EF41E5">
      <w:pPr>
        <w:pStyle w:val="P68B1DB1-Akapitzlist3"/>
        <w:numPr>
          <w:ilvl w:val="0"/>
          <w:numId w:val="2"/>
        </w:numPr>
        <w:rPr>
          <w:sz w:val="20"/>
        </w:rPr>
      </w:pPr>
      <w:r w:rsidRPr="003A4403">
        <w:rPr>
          <w:sz w:val="20"/>
        </w:rPr>
        <w:t>non-governmental organizations (e.g. associations, foundations),</w:t>
      </w:r>
    </w:p>
    <w:p w14:paraId="0E68C7C5" w14:textId="5324EE57" w:rsidR="00095010" w:rsidRPr="003A4403" w:rsidRDefault="00EF41E5">
      <w:pPr>
        <w:pStyle w:val="P68B1DB1-Normalny2"/>
        <w:rPr>
          <w:sz w:val="20"/>
        </w:rPr>
      </w:pPr>
      <w:r w:rsidRPr="003A4403">
        <w:rPr>
          <w:sz w:val="20"/>
        </w:rPr>
        <w:t xml:space="preserve">which cumulatively fulfill </w:t>
      </w:r>
      <w:r w:rsidRPr="003A4403">
        <w:rPr>
          <w:b/>
          <w:sz w:val="20"/>
        </w:rPr>
        <w:t>all four conditions</w:t>
      </w:r>
      <w:r w:rsidRPr="003A4403">
        <w:rPr>
          <w:sz w:val="20"/>
        </w:rPr>
        <w:t>:</w:t>
      </w:r>
    </w:p>
    <w:p w14:paraId="64C47FD8" w14:textId="7C072FA5" w:rsidR="00095010" w:rsidRPr="003A4403" w:rsidRDefault="00EF41E5">
      <w:pPr>
        <w:pStyle w:val="P68B1DB1-Akapitzlist3"/>
        <w:numPr>
          <w:ilvl w:val="0"/>
          <w:numId w:val="4"/>
        </w:numPr>
        <w:jc w:val="both"/>
        <w:rPr>
          <w:sz w:val="20"/>
        </w:rPr>
      </w:pPr>
      <w:r w:rsidRPr="003A4403">
        <w:rPr>
          <w:sz w:val="20"/>
        </w:rPr>
        <w:t>conduct feminist activities for women's rights and / or the rights of queer persons, non-binary persons, intersex persons, transgender persons,</w:t>
      </w:r>
    </w:p>
    <w:p w14:paraId="616972E9" w14:textId="763C7B78" w:rsidR="00095010" w:rsidRPr="003A4403" w:rsidRDefault="00EF41E5">
      <w:pPr>
        <w:pStyle w:val="P68B1DB1-Akapitzlist3"/>
        <w:numPr>
          <w:ilvl w:val="0"/>
          <w:numId w:val="4"/>
        </w:numPr>
        <w:jc w:val="both"/>
        <w:rPr>
          <w:sz w:val="20"/>
        </w:rPr>
      </w:pPr>
      <w:r w:rsidRPr="003A4403">
        <w:rPr>
          <w:sz w:val="20"/>
        </w:rPr>
        <w:t>are run by women and / or queer, non-binary, intersex, transgender persons (the group / organization is formed and managed mostly or entirely by non-</w:t>
      </w:r>
      <w:r w:rsidR="000B32D2" w:rsidRPr="003A4403">
        <w:rPr>
          <w:sz w:val="20"/>
        </w:rPr>
        <w:t>cis-</w:t>
      </w:r>
      <w:r w:rsidRPr="003A4403">
        <w:rPr>
          <w:sz w:val="20"/>
        </w:rPr>
        <w:t>male persons*),</w:t>
      </w:r>
    </w:p>
    <w:p w14:paraId="256A2EA3" w14:textId="722097A2" w:rsidR="00095010" w:rsidRPr="003A4403" w:rsidRDefault="00EF41E5">
      <w:pPr>
        <w:pStyle w:val="P68B1DB1-Akapitzlist3"/>
        <w:numPr>
          <w:ilvl w:val="0"/>
          <w:numId w:val="4"/>
        </w:numPr>
        <w:jc w:val="both"/>
        <w:rPr>
          <w:sz w:val="20"/>
        </w:rPr>
      </w:pPr>
      <w:r w:rsidRPr="003A4403">
        <w:rPr>
          <w:sz w:val="20"/>
        </w:rPr>
        <w:t>feel connected with the feminist movement,</w:t>
      </w:r>
    </w:p>
    <w:p w14:paraId="0C147524" w14:textId="20C44E74" w:rsidR="00CB3DAC" w:rsidRPr="003A4403" w:rsidRDefault="00EF41E5" w:rsidP="00F42E64">
      <w:pPr>
        <w:pStyle w:val="P68B1DB1-Akapitzlist3"/>
        <w:numPr>
          <w:ilvl w:val="0"/>
          <w:numId w:val="4"/>
        </w:numPr>
        <w:rPr>
          <w:sz w:val="20"/>
        </w:rPr>
      </w:pPr>
      <w:r w:rsidRPr="003A4403">
        <w:rPr>
          <w:sz w:val="20"/>
        </w:rPr>
        <w:t>respond to the needs of women and the above-mentioned persons living in Poland.</w:t>
      </w:r>
    </w:p>
    <w:p w14:paraId="7A4BC7E5" w14:textId="1B35CE9A" w:rsidR="00CB3DAC" w:rsidRPr="003A4403" w:rsidRDefault="00CB3DAC">
      <w:pPr>
        <w:jc w:val="both"/>
        <w:rPr>
          <w:rFonts w:ascii="PT Serif" w:hAnsi="PT Serif"/>
          <w:color w:val="000000" w:themeColor="text1"/>
          <w:sz w:val="20"/>
        </w:rPr>
      </w:pPr>
      <w:r w:rsidRPr="003A4403">
        <w:rPr>
          <w:rFonts w:ascii="PT Serif" w:hAnsi="PT Serif"/>
          <w:color w:val="000000" w:themeColor="text1"/>
          <w:sz w:val="20"/>
        </w:rPr>
        <w:t>Guided by the Fund's values and priorities, we do not support groups/organizations that question the rights of some women, girls and/or the rights of queer, non-binary, inter</w:t>
      </w:r>
      <w:r w:rsidR="006A2A1F" w:rsidRPr="003A4403">
        <w:rPr>
          <w:rFonts w:ascii="PT Serif" w:hAnsi="PT Serif"/>
          <w:color w:val="000000" w:themeColor="text1"/>
          <w:sz w:val="20"/>
        </w:rPr>
        <w:t>sex</w:t>
      </w:r>
      <w:r w:rsidRPr="003A4403">
        <w:rPr>
          <w:rFonts w:ascii="PT Serif" w:hAnsi="PT Serif"/>
          <w:color w:val="000000" w:themeColor="text1"/>
          <w:sz w:val="20"/>
        </w:rPr>
        <w:t xml:space="preserve"> and transgender persons because of who they are, the work they do or their position in society.</w:t>
      </w:r>
    </w:p>
    <w:p w14:paraId="3E938886" w14:textId="7599E52C" w:rsidR="00095010" w:rsidRPr="003A4403" w:rsidRDefault="00EF41E5">
      <w:pPr>
        <w:jc w:val="both"/>
        <w:rPr>
          <w:rFonts w:ascii="PT Serif" w:hAnsi="PT Serif"/>
          <w:i/>
          <w:sz w:val="20"/>
        </w:rPr>
      </w:pPr>
      <w:r w:rsidRPr="003A4403">
        <w:rPr>
          <w:rFonts w:ascii="PT Serif" w:hAnsi="PT Serif"/>
          <w:i/>
          <w:sz w:val="20"/>
        </w:rPr>
        <w:t xml:space="preserve">* A cisgender person is a person whose gender </w:t>
      </w:r>
      <w:r w:rsidR="007C6912" w:rsidRPr="003A4403">
        <w:rPr>
          <w:rFonts w:ascii="PT Serif" w:hAnsi="PT Serif"/>
          <w:i/>
          <w:sz w:val="20"/>
        </w:rPr>
        <w:t xml:space="preserve">assigned </w:t>
      </w:r>
      <w:r w:rsidRPr="003A4403">
        <w:rPr>
          <w:rFonts w:ascii="PT Serif" w:hAnsi="PT Serif"/>
          <w:i/>
          <w:sz w:val="20"/>
        </w:rPr>
        <w:t>at birth is consistent with the</w:t>
      </w:r>
      <w:r w:rsidR="007C6912" w:rsidRPr="003A4403">
        <w:rPr>
          <w:rFonts w:ascii="PT Serif" w:hAnsi="PT Serif"/>
          <w:i/>
          <w:sz w:val="20"/>
        </w:rPr>
        <w:t>ir</w:t>
      </w:r>
      <w:r w:rsidRPr="003A4403">
        <w:rPr>
          <w:rFonts w:ascii="PT Serif" w:hAnsi="PT Serif"/>
          <w:i/>
          <w:sz w:val="20"/>
        </w:rPr>
        <w:t xml:space="preserve"> perceived gender </w:t>
      </w:r>
      <w:r w:rsidR="00FA732C" w:rsidRPr="003A4403">
        <w:rPr>
          <w:rFonts w:ascii="PT Serif" w:hAnsi="PT Serif"/>
          <w:i/>
          <w:sz w:val="20"/>
        </w:rPr>
        <w:t>–</w:t>
      </w:r>
      <w:r w:rsidRPr="003A4403">
        <w:rPr>
          <w:rFonts w:ascii="PT Serif" w:hAnsi="PT Serif"/>
          <w:i/>
          <w:sz w:val="20"/>
        </w:rPr>
        <w:t xml:space="preserve"> the gender identity of cisgender people corresponds to the gender stated in their documents. </w:t>
      </w:r>
      <w:proofErr w:type="spellStart"/>
      <w:r w:rsidRPr="003A4403">
        <w:rPr>
          <w:rFonts w:ascii="PT Serif" w:hAnsi="PT Serif"/>
          <w:i/>
          <w:sz w:val="20"/>
        </w:rPr>
        <w:t>FemFund</w:t>
      </w:r>
      <w:proofErr w:type="spellEnd"/>
      <w:r w:rsidRPr="003A4403">
        <w:rPr>
          <w:rFonts w:ascii="PT Serif" w:hAnsi="PT Serif"/>
          <w:i/>
          <w:sz w:val="20"/>
        </w:rPr>
        <w:t xml:space="preserve"> supports non-male initiatives because the patriarchy discriminates against all persons who are not socially recognized as male and do not enjoy the privilege</w:t>
      </w:r>
      <w:r w:rsidR="00C06FED" w:rsidRPr="003A4403">
        <w:rPr>
          <w:rFonts w:ascii="PT Serif" w:hAnsi="PT Serif"/>
          <w:i/>
          <w:sz w:val="20"/>
        </w:rPr>
        <w:t xml:space="preserve"> of being</w:t>
      </w:r>
      <w:r w:rsidRPr="003A4403">
        <w:rPr>
          <w:rFonts w:ascii="PT Serif" w:hAnsi="PT Serif"/>
          <w:i/>
          <w:sz w:val="20"/>
        </w:rPr>
        <w:t xml:space="preserve"> cis-male men.</w:t>
      </w:r>
    </w:p>
    <w:p w14:paraId="11956C05" w14:textId="46F78D59" w:rsidR="00095010" w:rsidRPr="003A4403" w:rsidRDefault="008B31B4" w:rsidP="00F42E64">
      <w:pPr>
        <w:pStyle w:val="Akapitzlist"/>
        <w:numPr>
          <w:ilvl w:val="0"/>
          <w:numId w:val="7"/>
        </w:numPr>
        <w:spacing w:after="0" w:line="240" w:lineRule="auto"/>
        <w:rPr>
          <w:rFonts w:ascii="PT Serif" w:hAnsi="PT Serif"/>
          <w:b/>
          <w:bCs/>
          <w:sz w:val="20"/>
        </w:rPr>
      </w:pPr>
      <w:proofErr w:type="spellStart"/>
      <w:r w:rsidRPr="003A4403">
        <w:rPr>
          <w:rFonts w:ascii="PT Serif" w:hAnsi="PT Serif"/>
          <w:b/>
          <w:bCs/>
          <w:sz w:val="20"/>
        </w:rPr>
        <w:t>Fem</w:t>
      </w:r>
      <w:r w:rsidR="00EF41E5" w:rsidRPr="003A4403">
        <w:rPr>
          <w:rFonts w:ascii="PT Serif" w:hAnsi="PT Serif"/>
          <w:b/>
          <w:bCs/>
          <w:sz w:val="20"/>
        </w:rPr>
        <w:t>Fund's</w:t>
      </w:r>
      <w:proofErr w:type="spellEnd"/>
      <w:r w:rsidR="00EF41E5" w:rsidRPr="003A4403">
        <w:rPr>
          <w:rFonts w:ascii="PT Serif" w:hAnsi="PT Serif"/>
          <w:b/>
          <w:bCs/>
          <w:sz w:val="20"/>
        </w:rPr>
        <w:t xml:space="preserve"> priorities</w:t>
      </w:r>
      <w:r w:rsidR="00F42E64" w:rsidRPr="003A4403">
        <w:rPr>
          <w:rFonts w:ascii="PT Serif" w:hAnsi="PT Serif"/>
          <w:b/>
          <w:bCs/>
          <w:sz w:val="20"/>
        </w:rPr>
        <w:t xml:space="preserve">. </w:t>
      </w:r>
      <w:r w:rsidR="00EF41E5" w:rsidRPr="003A4403">
        <w:rPr>
          <w:rFonts w:ascii="PT Serif" w:hAnsi="PT Serif"/>
          <w:b/>
          <w:bCs/>
          <w:sz w:val="20"/>
        </w:rPr>
        <w:t>What initiatives do we consider particularly important?</w:t>
      </w:r>
    </w:p>
    <w:p w14:paraId="21F674A3" w14:textId="77777777" w:rsidR="00F42E64" w:rsidRPr="003A4403" w:rsidRDefault="00F42E64" w:rsidP="00F42E64">
      <w:pPr>
        <w:pStyle w:val="Akapitzlist"/>
        <w:spacing w:after="0" w:line="240" w:lineRule="auto"/>
        <w:ind w:left="1080"/>
        <w:rPr>
          <w:rFonts w:ascii="PT Serif" w:hAnsi="PT Serif"/>
          <w:b/>
          <w:bCs/>
          <w:sz w:val="20"/>
        </w:rPr>
      </w:pPr>
    </w:p>
    <w:p w14:paraId="2C5DA481" w14:textId="30BD9F6D" w:rsidR="00095010" w:rsidRPr="003A4403" w:rsidRDefault="00F42E64">
      <w:pPr>
        <w:pStyle w:val="P68B1DB1-Normalny2"/>
        <w:jc w:val="both"/>
        <w:rPr>
          <w:sz w:val="20"/>
        </w:rPr>
      </w:pPr>
      <w:r w:rsidRPr="003A4403">
        <w:rPr>
          <w:sz w:val="20"/>
        </w:rPr>
        <w:t>W</w:t>
      </w:r>
      <w:r w:rsidR="00EF41E5" w:rsidRPr="003A4403">
        <w:rPr>
          <w:sz w:val="20"/>
        </w:rPr>
        <w:t xml:space="preserve">e would </w:t>
      </w:r>
      <w:r w:rsidR="00EF41E5" w:rsidRPr="003A4403">
        <w:rPr>
          <w:b/>
          <w:sz w:val="20"/>
        </w:rPr>
        <w:t>especially like to encourage and invite groups and organizations</w:t>
      </w:r>
      <w:r w:rsidR="00EF41E5" w:rsidRPr="003A4403">
        <w:rPr>
          <w:sz w:val="20"/>
        </w:rPr>
        <w:t xml:space="preserve"> that:</w:t>
      </w:r>
    </w:p>
    <w:p w14:paraId="1F7CB48B" w14:textId="74703303" w:rsidR="00095010" w:rsidRPr="003A4403" w:rsidRDefault="00EF41E5">
      <w:pPr>
        <w:pStyle w:val="P68B1DB1-Normalny2"/>
        <w:ind w:left="426"/>
        <w:jc w:val="both"/>
        <w:rPr>
          <w:sz w:val="20"/>
        </w:rPr>
      </w:pPr>
      <w:r w:rsidRPr="003A4403">
        <w:rPr>
          <w:sz w:val="20"/>
        </w:rPr>
        <w:t>1) focus on women and persons with the experience of living as a woman who, for various reasons, are particularly vulnerable to discrimination (e.g. women with disabilities, non-heterosexual women, young women, women living in villages and smaller towns, economically excluded women, women from ethnic minorities, non-binary persons, intersex, and transgender persons),</w:t>
      </w:r>
    </w:p>
    <w:p w14:paraId="0E26FD82" w14:textId="7655A5EC" w:rsidR="00095010" w:rsidRPr="003A4403" w:rsidRDefault="00EF41E5">
      <w:pPr>
        <w:pStyle w:val="P68B1DB1-Normalny2"/>
        <w:ind w:left="426"/>
        <w:jc w:val="both"/>
        <w:rPr>
          <w:sz w:val="20"/>
        </w:rPr>
      </w:pPr>
      <w:r w:rsidRPr="003A4403">
        <w:rPr>
          <w:sz w:val="20"/>
        </w:rPr>
        <w:t>2) self-organize, act on their own behalf, undertake local grassroots activities within their community,</w:t>
      </w:r>
    </w:p>
    <w:p w14:paraId="08D822DF" w14:textId="01A76AB8" w:rsidR="00095010" w:rsidRPr="003A4403" w:rsidRDefault="00EF41E5">
      <w:pPr>
        <w:pStyle w:val="P68B1DB1-Normalny2"/>
        <w:ind w:left="426"/>
        <w:jc w:val="both"/>
        <w:rPr>
          <w:sz w:val="20"/>
        </w:rPr>
      </w:pPr>
      <w:r w:rsidRPr="003A4403">
        <w:rPr>
          <w:sz w:val="20"/>
        </w:rPr>
        <w:t>3) develop the local feminist movement outside the largest urban centers (</w:t>
      </w:r>
      <w:r w:rsidR="0018482E" w:rsidRPr="003A4403">
        <w:rPr>
          <w:sz w:val="20"/>
        </w:rPr>
        <w:t>Lodz</w:t>
      </w:r>
      <w:r w:rsidRPr="003A4403">
        <w:rPr>
          <w:sz w:val="20"/>
        </w:rPr>
        <w:t>, Krak</w:t>
      </w:r>
      <w:r w:rsidR="0018482E" w:rsidRPr="003A4403">
        <w:rPr>
          <w:sz w:val="20"/>
        </w:rPr>
        <w:t>o</w:t>
      </w:r>
      <w:r w:rsidRPr="003A4403">
        <w:rPr>
          <w:sz w:val="20"/>
        </w:rPr>
        <w:t>w, Pozna</w:t>
      </w:r>
      <w:r w:rsidR="0018482E" w:rsidRPr="003A4403">
        <w:rPr>
          <w:sz w:val="20"/>
        </w:rPr>
        <w:t>n</w:t>
      </w:r>
      <w:r w:rsidRPr="003A4403">
        <w:rPr>
          <w:sz w:val="20"/>
        </w:rPr>
        <w:t xml:space="preserve">, </w:t>
      </w:r>
      <w:proofErr w:type="spellStart"/>
      <w:r w:rsidRPr="003A4403">
        <w:rPr>
          <w:sz w:val="20"/>
        </w:rPr>
        <w:t>Tricity</w:t>
      </w:r>
      <w:proofErr w:type="spellEnd"/>
      <w:r w:rsidRPr="003A4403">
        <w:rPr>
          <w:sz w:val="20"/>
        </w:rPr>
        <w:t>, Warsaw, Wroc</w:t>
      </w:r>
      <w:r w:rsidR="0018482E" w:rsidRPr="003A4403">
        <w:rPr>
          <w:sz w:val="20"/>
        </w:rPr>
        <w:t>l</w:t>
      </w:r>
      <w:r w:rsidRPr="003A4403">
        <w:rPr>
          <w:sz w:val="20"/>
        </w:rPr>
        <w:t>aw),</w:t>
      </w:r>
    </w:p>
    <w:p w14:paraId="66BE72CA" w14:textId="65C5FFC8" w:rsidR="00095010" w:rsidRPr="003A4403" w:rsidRDefault="00EF41E5">
      <w:pPr>
        <w:pStyle w:val="P68B1DB1-Normalny2"/>
        <w:ind w:left="426"/>
        <w:jc w:val="both"/>
        <w:rPr>
          <w:sz w:val="20"/>
        </w:rPr>
      </w:pPr>
      <w:r w:rsidRPr="003A4403">
        <w:rPr>
          <w:sz w:val="20"/>
        </w:rPr>
        <w:t>4) make decisions collectively, discussing and working out their position together; are not based on one-person leadership,</w:t>
      </w:r>
    </w:p>
    <w:p w14:paraId="3346AEE9" w14:textId="61402DC7" w:rsidR="00095010" w:rsidRPr="003A4403" w:rsidRDefault="00EF41E5">
      <w:pPr>
        <w:pStyle w:val="P68B1DB1-Normalny2"/>
        <w:ind w:left="426"/>
        <w:jc w:val="both"/>
        <w:rPr>
          <w:sz w:val="20"/>
        </w:rPr>
      </w:pPr>
      <w:r w:rsidRPr="003A4403">
        <w:rPr>
          <w:sz w:val="20"/>
        </w:rPr>
        <w:t>5) conduct non-standard activities and propose novel approaches to problem solving.</w:t>
      </w:r>
    </w:p>
    <w:p w14:paraId="502F3304" w14:textId="67D831AB" w:rsidR="00095010" w:rsidRDefault="00893817">
      <w:pPr>
        <w:jc w:val="both"/>
        <w:rPr>
          <w:rFonts w:ascii="PT Serif" w:hAnsi="PT Serif"/>
          <w:sz w:val="20"/>
        </w:rPr>
      </w:pPr>
      <w:r w:rsidRPr="003A4403">
        <w:rPr>
          <w:rFonts w:ascii="PT Serif" w:hAnsi="PT Serif"/>
          <w:sz w:val="20"/>
        </w:rPr>
        <w:t xml:space="preserve">We encourage all groups and organizations </w:t>
      </w:r>
      <w:r w:rsidR="00053E9B" w:rsidRPr="003A4403">
        <w:rPr>
          <w:rFonts w:ascii="PT Serif" w:hAnsi="PT Serif"/>
          <w:sz w:val="20"/>
        </w:rPr>
        <w:t>applying</w:t>
      </w:r>
      <w:r w:rsidRPr="003A4403">
        <w:rPr>
          <w:rFonts w:ascii="PT Serif" w:hAnsi="PT Serif"/>
          <w:sz w:val="20"/>
        </w:rPr>
        <w:t xml:space="preserve"> to read the answers to </w:t>
      </w:r>
      <w:hyperlink r:id="rId8" w:history="1">
        <w:r w:rsidRPr="00E84D20">
          <w:rPr>
            <w:rStyle w:val="Hipercze"/>
            <w:rFonts w:ascii="PT Serif" w:hAnsi="PT Serif"/>
            <w:sz w:val="20"/>
          </w:rPr>
          <w:t>frequently asked questions</w:t>
        </w:r>
      </w:hyperlink>
      <w:r w:rsidRPr="003A4403">
        <w:rPr>
          <w:rFonts w:ascii="PT Serif" w:hAnsi="PT Serif"/>
          <w:sz w:val="20"/>
        </w:rPr>
        <w:t xml:space="preserve"> . There we explain, among other things, how we understand the term "informal group," what the </w:t>
      </w:r>
      <w:proofErr w:type="spellStart"/>
      <w:r w:rsidRPr="003A4403">
        <w:rPr>
          <w:rFonts w:ascii="PT Serif" w:hAnsi="PT Serif"/>
          <w:sz w:val="20"/>
        </w:rPr>
        <w:t>MiniGrant</w:t>
      </w:r>
      <w:proofErr w:type="spellEnd"/>
      <w:r w:rsidRPr="003A4403">
        <w:rPr>
          <w:rFonts w:ascii="PT Serif" w:hAnsi="PT Serif"/>
          <w:sz w:val="20"/>
        </w:rPr>
        <w:t xml:space="preserve"> money can be used for, as well as many other questions!</w:t>
      </w:r>
    </w:p>
    <w:p w14:paraId="2D46B3AB" w14:textId="77777777" w:rsidR="00E84D20" w:rsidRPr="003A4403" w:rsidRDefault="00E84D20">
      <w:pPr>
        <w:jc w:val="both"/>
        <w:rPr>
          <w:rFonts w:ascii="PT Serif" w:hAnsi="PT Serif"/>
          <w:sz w:val="20"/>
        </w:rPr>
      </w:pPr>
    </w:p>
    <w:p w14:paraId="0C7C6A54" w14:textId="56940BF6" w:rsidR="00095010" w:rsidRPr="003A4403" w:rsidRDefault="00EF41E5" w:rsidP="00922CC7">
      <w:pPr>
        <w:pStyle w:val="Akapitzlist"/>
        <w:numPr>
          <w:ilvl w:val="0"/>
          <w:numId w:val="7"/>
        </w:numPr>
        <w:rPr>
          <w:rFonts w:ascii="PT Serif" w:hAnsi="PT Serif"/>
          <w:b/>
          <w:bCs/>
          <w:sz w:val="20"/>
        </w:rPr>
      </w:pPr>
      <w:r w:rsidRPr="003A4403">
        <w:rPr>
          <w:rFonts w:ascii="PT Serif" w:hAnsi="PT Serif"/>
          <w:b/>
          <w:bCs/>
          <w:sz w:val="20"/>
        </w:rPr>
        <w:lastRenderedPageBreak/>
        <w:t xml:space="preserve">Rules of the </w:t>
      </w:r>
      <w:r w:rsidR="00893817" w:rsidRPr="003A4403">
        <w:rPr>
          <w:rFonts w:ascii="PT Serif" w:hAnsi="PT Serif"/>
          <w:b/>
          <w:bCs/>
          <w:sz w:val="20"/>
        </w:rPr>
        <w:t>6</w:t>
      </w:r>
      <w:r w:rsidR="002C6FC1" w:rsidRPr="003A4403">
        <w:rPr>
          <w:rFonts w:ascii="PT Serif" w:hAnsi="PT Serif"/>
          <w:b/>
          <w:bCs/>
          <w:sz w:val="20"/>
        </w:rPr>
        <w:t>th</w:t>
      </w:r>
      <w:r w:rsidRPr="003A4403">
        <w:rPr>
          <w:rFonts w:ascii="PT Serif" w:hAnsi="PT Serif"/>
          <w:b/>
          <w:bCs/>
          <w:sz w:val="20"/>
        </w:rPr>
        <w:t xml:space="preserve"> edition of </w:t>
      </w:r>
      <w:proofErr w:type="spellStart"/>
      <w:r w:rsidRPr="003A4403">
        <w:rPr>
          <w:rFonts w:ascii="PT Serif" w:hAnsi="PT Serif"/>
          <w:b/>
          <w:bCs/>
          <w:sz w:val="20"/>
        </w:rPr>
        <w:t>MiniGrants</w:t>
      </w:r>
      <w:proofErr w:type="spellEnd"/>
    </w:p>
    <w:p w14:paraId="1C07D669" w14:textId="6896C33F" w:rsidR="00095010" w:rsidRPr="003A4403" w:rsidRDefault="00EF41E5">
      <w:pPr>
        <w:pStyle w:val="P68B1DB1-Normalny4"/>
        <w:rPr>
          <w:b/>
          <w:sz w:val="20"/>
          <w:u w:val="single"/>
        </w:rPr>
      </w:pPr>
      <w:r w:rsidRPr="003A4403">
        <w:rPr>
          <w:b/>
          <w:sz w:val="20"/>
          <w:u w:val="single"/>
        </w:rPr>
        <w:t>Submitting an application</w:t>
      </w:r>
    </w:p>
    <w:p w14:paraId="73B92EF7" w14:textId="399AADD7" w:rsidR="00095010" w:rsidRPr="003A4403" w:rsidRDefault="00EF41E5">
      <w:pPr>
        <w:jc w:val="both"/>
        <w:rPr>
          <w:rFonts w:ascii="PT Serif" w:hAnsi="PT Serif"/>
          <w:sz w:val="20"/>
        </w:rPr>
      </w:pPr>
      <w:r w:rsidRPr="003A4403">
        <w:rPr>
          <w:rFonts w:ascii="PT Serif" w:hAnsi="PT Serif"/>
          <w:sz w:val="20"/>
        </w:rPr>
        <w:t xml:space="preserve">1. </w:t>
      </w:r>
      <w:r w:rsidR="00002FC2" w:rsidRPr="003A4403">
        <w:rPr>
          <w:rFonts w:ascii="PT Serif" w:hAnsi="PT Serif"/>
          <w:sz w:val="20"/>
        </w:rPr>
        <w:t xml:space="preserve">You apply for </w:t>
      </w:r>
      <w:proofErr w:type="spellStart"/>
      <w:r w:rsidR="00002FC2" w:rsidRPr="003A4403">
        <w:rPr>
          <w:rFonts w:ascii="PT Serif" w:hAnsi="PT Serif"/>
          <w:sz w:val="20"/>
        </w:rPr>
        <w:t>MiniGrant</w:t>
      </w:r>
      <w:proofErr w:type="spellEnd"/>
      <w:r w:rsidR="00002FC2" w:rsidRPr="003A4403">
        <w:rPr>
          <w:rFonts w:ascii="PT Serif" w:hAnsi="PT Serif"/>
          <w:sz w:val="20"/>
        </w:rPr>
        <w:t xml:space="preserve"> online at </w:t>
      </w:r>
      <w:hyperlink r:id="rId9" w:history="1">
        <w:r w:rsidR="00002FC2" w:rsidRPr="00E84D20">
          <w:rPr>
            <w:rStyle w:val="Hipercze"/>
            <w:rFonts w:ascii="PT Serif" w:hAnsi="PT Serif"/>
            <w:sz w:val="20"/>
          </w:rPr>
          <w:t>femfund.pl</w:t>
        </w:r>
      </w:hyperlink>
      <w:r w:rsidR="00002FC2" w:rsidRPr="003A4403">
        <w:rPr>
          <w:rFonts w:ascii="PT Serif" w:hAnsi="PT Serif"/>
          <w:sz w:val="20"/>
        </w:rPr>
        <w:t xml:space="preserve">. A template for the </w:t>
      </w:r>
      <w:proofErr w:type="spellStart"/>
      <w:r w:rsidR="00002FC2" w:rsidRPr="003A4403">
        <w:rPr>
          <w:rFonts w:ascii="PT Serif" w:hAnsi="PT Serif"/>
          <w:sz w:val="20"/>
        </w:rPr>
        <w:t>MiniGrant</w:t>
      </w:r>
      <w:proofErr w:type="spellEnd"/>
      <w:r w:rsidR="00002FC2" w:rsidRPr="003A4403">
        <w:rPr>
          <w:rFonts w:ascii="PT Serif" w:hAnsi="PT Serif"/>
          <w:sz w:val="20"/>
        </w:rPr>
        <w:t xml:space="preserve"> application is available under the "</w:t>
      </w:r>
      <w:hyperlink r:id="rId10" w:history="1">
        <w:r w:rsidR="00002FC2" w:rsidRPr="00E84D20">
          <w:rPr>
            <w:rStyle w:val="Hipercze"/>
            <w:rFonts w:ascii="PT Serif" w:hAnsi="PT Serif"/>
            <w:sz w:val="20"/>
          </w:rPr>
          <w:t>Learn about our Grants</w:t>
        </w:r>
      </w:hyperlink>
      <w:r w:rsidR="00002FC2" w:rsidRPr="003A4403">
        <w:rPr>
          <w:rFonts w:ascii="PT Serif" w:hAnsi="PT Serif"/>
          <w:sz w:val="20"/>
        </w:rPr>
        <w:t>" tab. We encourage you to prepare the application in a text file and then copy the final version into the online form.</w:t>
      </w:r>
    </w:p>
    <w:p w14:paraId="224BBC1C" w14:textId="0F7D85EB" w:rsidR="00095010" w:rsidRPr="003A4403" w:rsidRDefault="00EF41E5">
      <w:pPr>
        <w:pStyle w:val="P68B1DB1-Normalny2"/>
        <w:jc w:val="both"/>
        <w:rPr>
          <w:sz w:val="20"/>
        </w:rPr>
      </w:pPr>
      <w:r w:rsidRPr="003A4403">
        <w:rPr>
          <w:sz w:val="20"/>
        </w:rPr>
        <w:t xml:space="preserve">2. Your group / organization may submit only one application in a given edition of </w:t>
      </w:r>
      <w:proofErr w:type="spellStart"/>
      <w:r w:rsidRPr="003A4403">
        <w:rPr>
          <w:sz w:val="20"/>
        </w:rPr>
        <w:t>MiniGrants</w:t>
      </w:r>
      <w:proofErr w:type="spellEnd"/>
      <w:r w:rsidRPr="003A4403">
        <w:rPr>
          <w:sz w:val="20"/>
        </w:rPr>
        <w:t>.</w:t>
      </w:r>
    </w:p>
    <w:p w14:paraId="4E7C33BF" w14:textId="11465259" w:rsidR="00095010" w:rsidRPr="003A4403" w:rsidRDefault="00EF41E5">
      <w:pPr>
        <w:pStyle w:val="P68B1DB1-Normalny2"/>
        <w:jc w:val="both"/>
        <w:rPr>
          <w:sz w:val="20"/>
        </w:rPr>
      </w:pPr>
      <w:r w:rsidRPr="003A4403">
        <w:rPr>
          <w:sz w:val="20"/>
        </w:rPr>
        <w:t xml:space="preserve">3. </w:t>
      </w:r>
      <w:proofErr w:type="spellStart"/>
      <w:r w:rsidRPr="003A4403">
        <w:rPr>
          <w:sz w:val="20"/>
        </w:rPr>
        <w:t>MiniGrants</w:t>
      </w:r>
      <w:proofErr w:type="spellEnd"/>
      <w:r w:rsidRPr="003A4403">
        <w:rPr>
          <w:sz w:val="20"/>
        </w:rPr>
        <w:t xml:space="preserve"> can be used to implement the feminist activities that you consider necessary and important. All expenses related to the implementation of your activities can be covered from </w:t>
      </w:r>
      <w:r w:rsidR="0067078B" w:rsidRPr="003A4403">
        <w:rPr>
          <w:sz w:val="20"/>
        </w:rPr>
        <w:t xml:space="preserve">a </w:t>
      </w:r>
      <w:proofErr w:type="spellStart"/>
      <w:r w:rsidRPr="003A4403">
        <w:rPr>
          <w:sz w:val="20"/>
        </w:rPr>
        <w:t>MiniGrant</w:t>
      </w:r>
      <w:proofErr w:type="spellEnd"/>
      <w:r w:rsidRPr="003A4403">
        <w:rPr>
          <w:sz w:val="20"/>
        </w:rPr>
        <w:t>. It is up to you to decide what exactly the money should be spent on.</w:t>
      </w:r>
    </w:p>
    <w:p w14:paraId="0DD9FB5C" w14:textId="310586D0" w:rsidR="00095010" w:rsidRPr="003A4403" w:rsidRDefault="00EF41E5">
      <w:pPr>
        <w:pStyle w:val="P68B1DB1-Normalny2"/>
        <w:jc w:val="both"/>
        <w:rPr>
          <w:sz w:val="20"/>
        </w:rPr>
      </w:pPr>
      <w:r w:rsidRPr="003A4403">
        <w:rPr>
          <w:sz w:val="20"/>
        </w:rPr>
        <w:t xml:space="preserve">4. You can apply for </w:t>
      </w:r>
      <w:proofErr w:type="spellStart"/>
      <w:r w:rsidRPr="003A4403">
        <w:rPr>
          <w:sz w:val="20"/>
        </w:rPr>
        <w:t>MiniGrants</w:t>
      </w:r>
      <w:proofErr w:type="spellEnd"/>
      <w:r w:rsidRPr="003A4403">
        <w:rPr>
          <w:sz w:val="20"/>
        </w:rPr>
        <w:t xml:space="preserve"> with a maximum budget of </w:t>
      </w:r>
      <w:r w:rsidRPr="003A4403">
        <w:rPr>
          <w:b/>
          <w:bCs/>
          <w:sz w:val="20"/>
        </w:rPr>
        <w:t xml:space="preserve">PLN </w:t>
      </w:r>
      <w:r w:rsidR="00002FC2" w:rsidRPr="003A4403">
        <w:rPr>
          <w:b/>
          <w:bCs/>
          <w:sz w:val="20"/>
        </w:rPr>
        <w:t>5</w:t>
      </w:r>
      <w:r w:rsidRPr="003A4403">
        <w:rPr>
          <w:b/>
          <w:bCs/>
          <w:sz w:val="20"/>
        </w:rPr>
        <w:t>,</w:t>
      </w:r>
      <w:r w:rsidR="00002FC2" w:rsidRPr="003A4403">
        <w:rPr>
          <w:b/>
          <w:bCs/>
          <w:sz w:val="20"/>
        </w:rPr>
        <w:t>3</w:t>
      </w:r>
      <w:r w:rsidRPr="003A4403">
        <w:rPr>
          <w:b/>
          <w:bCs/>
          <w:sz w:val="20"/>
        </w:rPr>
        <w:t>00</w:t>
      </w:r>
      <w:r w:rsidRPr="003A4403">
        <w:rPr>
          <w:sz w:val="20"/>
        </w:rPr>
        <w:t xml:space="preserve"> to be used between </w:t>
      </w:r>
      <w:r w:rsidR="00002FC2" w:rsidRPr="003A4403">
        <w:rPr>
          <w:b/>
          <w:bCs/>
          <w:sz w:val="20"/>
        </w:rPr>
        <w:t>April 10</w:t>
      </w:r>
      <w:r w:rsidRPr="003A4403">
        <w:rPr>
          <w:b/>
          <w:bCs/>
          <w:sz w:val="20"/>
        </w:rPr>
        <w:t xml:space="preserve"> and October 31, 202</w:t>
      </w:r>
      <w:r w:rsidR="00002FC2" w:rsidRPr="003A4403">
        <w:rPr>
          <w:b/>
          <w:bCs/>
          <w:sz w:val="20"/>
        </w:rPr>
        <w:t>3</w:t>
      </w:r>
      <w:r w:rsidRPr="003A4403">
        <w:rPr>
          <w:b/>
          <w:bCs/>
          <w:sz w:val="20"/>
        </w:rPr>
        <w:t>.</w:t>
      </w:r>
    </w:p>
    <w:p w14:paraId="7E8CAB25" w14:textId="7AF19FED" w:rsidR="00095010" w:rsidRPr="003A4403" w:rsidRDefault="00EF41E5">
      <w:pPr>
        <w:pStyle w:val="P68B1DB1-Normalny2"/>
        <w:jc w:val="both"/>
        <w:rPr>
          <w:sz w:val="20"/>
        </w:rPr>
      </w:pPr>
      <w:r w:rsidRPr="003A4403">
        <w:rPr>
          <w:sz w:val="20"/>
        </w:rPr>
        <w:t>5. By submitting the application via the website femfund.pl:</w:t>
      </w:r>
    </w:p>
    <w:p w14:paraId="758EA984" w14:textId="29456763" w:rsidR="00095010" w:rsidRPr="003A4403" w:rsidRDefault="00EF41E5">
      <w:pPr>
        <w:pStyle w:val="P68B1DB1-Normalny2"/>
        <w:jc w:val="both"/>
        <w:rPr>
          <w:sz w:val="20"/>
        </w:rPr>
      </w:pPr>
      <w:r w:rsidRPr="003A4403">
        <w:rPr>
          <w:sz w:val="20"/>
        </w:rPr>
        <w:t xml:space="preserve">a) you agree to share the content of the application with other groups and organizations that will advance to the second stage and will </w:t>
      </w:r>
      <w:r w:rsidR="00C60021" w:rsidRPr="003A4403">
        <w:rPr>
          <w:sz w:val="20"/>
        </w:rPr>
        <w:t>take part</w:t>
      </w:r>
      <w:r w:rsidRPr="003A4403">
        <w:rPr>
          <w:sz w:val="20"/>
        </w:rPr>
        <w:t xml:space="preserve"> in the participatory process of selecting </w:t>
      </w:r>
      <w:proofErr w:type="spellStart"/>
      <w:r w:rsidRPr="003A4403">
        <w:rPr>
          <w:sz w:val="20"/>
        </w:rPr>
        <w:t>MiniGrants</w:t>
      </w:r>
      <w:proofErr w:type="spellEnd"/>
      <w:r w:rsidRPr="003A4403">
        <w:rPr>
          <w:sz w:val="20"/>
        </w:rPr>
        <w:t>, in accordance with these rules;</w:t>
      </w:r>
    </w:p>
    <w:p w14:paraId="7D0A2F8D" w14:textId="553591DA" w:rsidR="00095010" w:rsidRPr="003A4403" w:rsidRDefault="00EF41E5">
      <w:pPr>
        <w:pStyle w:val="P68B1DB1-Normalny2"/>
        <w:jc w:val="both"/>
        <w:rPr>
          <w:sz w:val="20"/>
        </w:rPr>
      </w:pPr>
      <w:r w:rsidRPr="003A4403">
        <w:rPr>
          <w:sz w:val="20"/>
        </w:rPr>
        <w:t>b) you undertake to participate in the selection of other applications and to maintain confidentiality, i.e. not to disclose them to third parties and to remove applications after the completion of the selection process.</w:t>
      </w:r>
    </w:p>
    <w:p w14:paraId="0ACF2525" w14:textId="6943122E" w:rsidR="00095010" w:rsidRPr="003A4403" w:rsidRDefault="00EF41E5">
      <w:pPr>
        <w:pStyle w:val="P68B1DB1-Normalny2"/>
        <w:jc w:val="both"/>
        <w:rPr>
          <w:b/>
          <w:sz w:val="20"/>
        </w:rPr>
      </w:pPr>
      <w:r w:rsidRPr="003A4403">
        <w:rPr>
          <w:sz w:val="20"/>
        </w:rPr>
        <w:t xml:space="preserve">The details of the contact person for the application will not be disclosed to anyone. </w:t>
      </w:r>
      <w:r w:rsidRPr="003A4403">
        <w:rPr>
          <w:b/>
          <w:sz w:val="20"/>
        </w:rPr>
        <w:t xml:space="preserve">Remember that part of the </w:t>
      </w:r>
      <w:proofErr w:type="spellStart"/>
      <w:r w:rsidRPr="003A4403">
        <w:rPr>
          <w:b/>
          <w:sz w:val="20"/>
        </w:rPr>
        <w:t>MiniGrant</w:t>
      </w:r>
      <w:proofErr w:type="spellEnd"/>
      <w:r w:rsidRPr="003A4403">
        <w:rPr>
          <w:b/>
          <w:sz w:val="20"/>
        </w:rPr>
        <w:t xml:space="preserve"> selection process is transferring the content of your applications to other groups / organizations that submitted applications. If you share sensitive data (e.g. information about your surname, gender, or origin), do it only to the extent that is comfortable for you.</w:t>
      </w:r>
    </w:p>
    <w:p w14:paraId="47D0A5BA" w14:textId="5E8B33C7" w:rsidR="00095010" w:rsidRPr="003A4403" w:rsidRDefault="00EF41E5">
      <w:pPr>
        <w:pStyle w:val="P68B1DB1-Normalny5"/>
        <w:jc w:val="both"/>
        <w:rPr>
          <w:sz w:val="20"/>
        </w:rPr>
      </w:pPr>
      <w:r w:rsidRPr="003A4403">
        <w:rPr>
          <w:sz w:val="20"/>
        </w:rPr>
        <w:t>Selecting applications</w:t>
      </w:r>
    </w:p>
    <w:p w14:paraId="2A72ADA2" w14:textId="6382CBFF" w:rsidR="00095010" w:rsidRPr="003A4403" w:rsidRDefault="00EF41E5">
      <w:pPr>
        <w:pStyle w:val="P68B1DB1-Normalny2"/>
        <w:jc w:val="both"/>
        <w:rPr>
          <w:sz w:val="20"/>
        </w:rPr>
      </w:pPr>
      <w:r w:rsidRPr="003A4403">
        <w:rPr>
          <w:sz w:val="20"/>
        </w:rPr>
        <w:t xml:space="preserve">6. The decision on which group / organization receives </w:t>
      </w:r>
      <w:r w:rsidR="00D12064" w:rsidRPr="003A4403">
        <w:rPr>
          <w:sz w:val="20"/>
        </w:rPr>
        <w:t xml:space="preserve">a </w:t>
      </w:r>
      <w:proofErr w:type="spellStart"/>
      <w:r w:rsidR="00D12064" w:rsidRPr="003A4403">
        <w:rPr>
          <w:sz w:val="20"/>
        </w:rPr>
        <w:t>FemFund’s</w:t>
      </w:r>
      <w:proofErr w:type="spellEnd"/>
      <w:r w:rsidR="00D12064" w:rsidRPr="003A4403">
        <w:rPr>
          <w:sz w:val="20"/>
        </w:rPr>
        <w:t xml:space="preserve"> </w:t>
      </w:r>
      <w:proofErr w:type="spellStart"/>
      <w:r w:rsidRPr="003A4403">
        <w:rPr>
          <w:sz w:val="20"/>
        </w:rPr>
        <w:t>MiniGrant</w:t>
      </w:r>
      <w:proofErr w:type="spellEnd"/>
      <w:r w:rsidRPr="003A4403">
        <w:rPr>
          <w:sz w:val="20"/>
        </w:rPr>
        <w:t xml:space="preserve"> is made primarily by you and other participants of a given edition of </w:t>
      </w:r>
      <w:proofErr w:type="spellStart"/>
      <w:r w:rsidRPr="003A4403">
        <w:rPr>
          <w:sz w:val="20"/>
        </w:rPr>
        <w:t>MiniGrants</w:t>
      </w:r>
      <w:proofErr w:type="spellEnd"/>
      <w:r w:rsidRPr="003A4403">
        <w:rPr>
          <w:sz w:val="20"/>
        </w:rPr>
        <w:t>.</w:t>
      </w:r>
    </w:p>
    <w:p w14:paraId="0C7BEA42" w14:textId="63E58D78" w:rsidR="00095010" w:rsidRPr="003A4403" w:rsidRDefault="00EF41E5">
      <w:pPr>
        <w:pStyle w:val="P68B1DB1-Normalny2"/>
        <w:jc w:val="both"/>
        <w:rPr>
          <w:sz w:val="20"/>
        </w:rPr>
      </w:pPr>
      <w:r w:rsidRPr="003A4403">
        <w:rPr>
          <w:sz w:val="20"/>
        </w:rPr>
        <w:t xml:space="preserve">7. Before sending applications to you for </w:t>
      </w:r>
      <w:r w:rsidR="006450E1" w:rsidRPr="003A4403">
        <w:rPr>
          <w:sz w:val="20"/>
        </w:rPr>
        <w:t>evaluation</w:t>
      </w:r>
      <w:r w:rsidRPr="003A4403">
        <w:rPr>
          <w:sz w:val="20"/>
        </w:rPr>
        <w:t xml:space="preserve">, the Feminist Fund team performs an initial review of all applications. Our task is to check whether the group or organization meets the conditions of a given edition of </w:t>
      </w:r>
      <w:proofErr w:type="spellStart"/>
      <w:r w:rsidRPr="003A4403">
        <w:rPr>
          <w:sz w:val="20"/>
        </w:rPr>
        <w:t>MiniGrants</w:t>
      </w:r>
      <w:proofErr w:type="spellEnd"/>
      <w:r w:rsidRPr="003A4403">
        <w:rPr>
          <w:sz w:val="20"/>
        </w:rPr>
        <w:t>.</w:t>
      </w:r>
    </w:p>
    <w:p w14:paraId="08D6A79E" w14:textId="037CE53A" w:rsidR="00095010" w:rsidRPr="003A4403" w:rsidRDefault="00EF41E5">
      <w:pPr>
        <w:pStyle w:val="P68B1DB1-Normalny2"/>
        <w:jc w:val="both"/>
        <w:rPr>
          <w:sz w:val="20"/>
        </w:rPr>
      </w:pPr>
      <w:r w:rsidRPr="003A4403">
        <w:rPr>
          <w:sz w:val="20"/>
        </w:rPr>
        <w:t xml:space="preserve">8. If there are more than 99 applications meeting the formal criteria, the Fund's team and the Advisory Board will select </w:t>
      </w:r>
      <w:r w:rsidR="00D12064" w:rsidRPr="003A4403">
        <w:rPr>
          <w:sz w:val="20"/>
        </w:rPr>
        <w:t>–</w:t>
      </w:r>
      <w:r w:rsidRPr="003A4403">
        <w:rPr>
          <w:sz w:val="20"/>
        </w:rPr>
        <w:t xml:space="preserve"> for practical reasons </w:t>
      </w:r>
      <w:r w:rsidR="00D12064" w:rsidRPr="003A4403">
        <w:rPr>
          <w:sz w:val="20"/>
        </w:rPr>
        <w:t>–</w:t>
      </w:r>
      <w:r w:rsidRPr="003A4403">
        <w:rPr>
          <w:sz w:val="20"/>
        </w:rPr>
        <w:t xml:space="preserve"> 99 ideas, which then pass to the next stage. </w:t>
      </w:r>
      <w:r w:rsidR="00A93EF6" w:rsidRPr="003A4403">
        <w:rPr>
          <w:sz w:val="20"/>
        </w:rPr>
        <w:t>While</w:t>
      </w:r>
      <w:r w:rsidRPr="003A4403">
        <w:rPr>
          <w:sz w:val="20"/>
        </w:rPr>
        <w:t xml:space="preserve"> selecting them, we follow the Fund's priorities.</w:t>
      </w:r>
    </w:p>
    <w:p w14:paraId="2DE9105F" w14:textId="0045A5F8" w:rsidR="00095010" w:rsidRPr="003A4403" w:rsidRDefault="00EF41E5">
      <w:pPr>
        <w:pStyle w:val="P68B1DB1-Normalny2"/>
        <w:jc w:val="both"/>
        <w:rPr>
          <w:sz w:val="20"/>
        </w:rPr>
      </w:pPr>
      <w:r w:rsidRPr="003A4403">
        <w:rPr>
          <w:sz w:val="20"/>
        </w:rPr>
        <w:t xml:space="preserve">9. Applications for evaluation are allocated randomly. Your task is to select the three best ideas that you think should receive </w:t>
      </w:r>
      <w:r w:rsidR="0006605C" w:rsidRPr="003A4403">
        <w:rPr>
          <w:sz w:val="20"/>
        </w:rPr>
        <w:t xml:space="preserve">a </w:t>
      </w:r>
      <w:proofErr w:type="spellStart"/>
      <w:r w:rsidRPr="003A4403">
        <w:rPr>
          <w:sz w:val="20"/>
        </w:rPr>
        <w:t>MiniGrant</w:t>
      </w:r>
      <w:proofErr w:type="spellEnd"/>
      <w:r w:rsidRPr="003A4403">
        <w:rPr>
          <w:sz w:val="20"/>
        </w:rPr>
        <w:t xml:space="preserve"> from the pool of ten applications and give them points from 3 (highest score) to 1 (lowest score). All other applications do not receive points. We will also ask you for a brief justification of this choice.</w:t>
      </w:r>
    </w:p>
    <w:p w14:paraId="6125DA49" w14:textId="0AFCD77E" w:rsidR="00095010" w:rsidRPr="003A4403" w:rsidRDefault="00EF41E5">
      <w:pPr>
        <w:pStyle w:val="P68B1DB1-Normalny2"/>
        <w:jc w:val="both"/>
        <w:rPr>
          <w:sz w:val="20"/>
        </w:rPr>
      </w:pPr>
      <w:r w:rsidRPr="003A4403">
        <w:rPr>
          <w:sz w:val="20"/>
        </w:rPr>
        <w:t>10. It is you, within your group or organization, who independently determine the method and procedure of making decisions regarding the selection of applications. The guidance provided by the Fund's team can help in this process.</w:t>
      </w:r>
    </w:p>
    <w:p w14:paraId="7064CE3D" w14:textId="0B040E7F" w:rsidR="00095010" w:rsidRPr="003A4403" w:rsidRDefault="00EF41E5">
      <w:pPr>
        <w:pStyle w:val="P68B1DB1-Normalny2"/>
        <w:jc w:val="both"/>
        <w:rPr>
          <w:sz w:val="20"/>
        </w:rPr>
      </w:pPr>
      <w:r w:rsidRPr="003A4403">
        <w:rPr>
          <w:sz w:val="20"/>
        </w:rPr>
        <w:lastRenderedPageBreak/>
        <w:t xml:space="preserve">11. If your group or organization applies for </w:t>
      </w:r>
      <w:proofErr w:type="spellStart"/>
      <w:r w:rsidRPr="003A4403">
        <w:rPr>
          <w:sz w:val="20"/>
        </w:rPr>
        <w:t>MiniGrant</w:t>
      </w:r>
      <w:proofErr w:type="spellEnd"/>
      <w:r w:rsidRPr="003A4403">
        <w:rPr>
          <w:sz w:val="20"/>
        </w:rPr>
        <w:t xml:space="preserve"> but does not take part in the selection of applications or submits its choices after the deadline, it means that you resign from further participation and your group or organization will not receive a grant in a given edition of </w:t>
      </w:r>
      <w:proofErr w:type="spellStart"/>
      <w:r w:rsidRPr="003A4403">
        <w:rPr>
          <w:sz w:val="20"/>
        </w:rPr>
        <w:t>MiniGrant</w:t>
      </w:r>
      <w:r w:rsidR="004115C6" w:rsidRPr="003A4403">
        <w:rPr>
          <w:sz w:val="20"/>
        </w:rPr>
        <w:t>s</w:t>
      </w:r>
      <w:proofErr w:type="spellEnd"/>
      <w:r w:rsidR="004115C6" w:rsidRPr="003A4403">
        <w:rPr>
          <w:sz w:val="20"/>
        </w:rPr>
        <w:t>.</w:t>
      </w:r>
    </w:p>
    <w:p w14:paraId="6648F80A" w14:textId="72FE5C9D" w:rsidR="00095010" w:rsidRPr="003A4403" w:rsidRDefault="00EF41E5">
      <w:pPr>
        <w:pStyle w:val="P68B1DB1-Normalny2"/>
        <w:jc w:val="both"/>
        <w:rPr>
          <w:sz w:val="20"/>
        </w:rPr>
      </w:pPr>
      <w:r w:rsidRPr="003A4403">
        <w:rPr>
          <w:sz w:val="20"/>
        </w:rPr>
        <w:t xml:space="preserve">12. Based on your decisions, the Fund's team compiles a ranking list. Mini-grants are awarded to groups and organizations whose applications have received the highest scores </w:t>
      </w:r>
      <w:r w:rsidR="004115C6" w:rsidRPr="003A4403">
        <w:rPr>
          <w:sz w:val="20"/>
        </w:rPr>
        <w:t>–</w:t>
      </w:r>
      <w:r w:rsidRPr="003A4403">
        <w:rPr>
          <w:sz w:val="20"/>
        </w:rPr>
        <w:t xml:space="preserve"> if groups / organizations receive the same ratings, the decision to grant </w:t>
      </w:r>
      <w:r w:rsidR="004115C6" w:rsidRPr="003A4403">
        <w:rPr>
          <w:sz w:val="20"/>
        </w:rPr>
        <w:t xml:space="preserve">a </w:t>
      </w:r>
      <w:proofErr w:type="spellStart"/>
      <w:r w:rsidRPr="003A4403">
        <w:rPr>
          <w:sz w:val="20"/>
        </w:rPr>
        <w:t>MiniGrant</w:t>
      </w:r>
      <w:proofErr w:type="spellEnd"/>
      <w:r w:rsidRPr="003A4403">
        <w:rPr>
          <w:sz w:val="20"/>
        </w:rPr>
        <w:t xml:space="preserve"> is made by the Fund's team in consultation with the Fund's </w:t>
      </w:r>
      <w:r w:rsidR="00676376" w:rsidRPr="003A4403">
        <w:rPr>
          <w:sz w:val="20"/>
        </w:rPr>
        <w:t xml:space="preserve">Advisory </w:t>
      </w:r>
      <w:r w:rsidRPr="003A4403">
        <w:rPr>
          <w:sz w:val="20"/>
        </w:rPr>
        <w:t>Board.</w:t>
      </w:r>
    </w:p>
    <w:p w14:paraId="18607778" w14:textId="5218F686" w:rsidR="00095010" w:rsidRPr="003A4403" w:rsidRDefault="00EF41E5">
      <w:pPr>
        <w:pStyle w:val="P68B1DB1-Normalny2"/>
        <w:jc w:val="both"/>
        <w:rPr>
          <w:sz w:val="20"/>
        </w:rPr>
      </w:pPr>
      <w:r w:rsidRPr="003A4403">
        <w:rPr>
          <w:sz w:val="20"/>
        </w:rPr>
        <w:t xml:space="preserve">13. From among the applications that were not included in the ranking list, the Fund's team, in consultation with the </w:t>
      </w:r>
      <w:r w:rsidR="00676376" w:rsidRPr="003A4403">
        <w:rPr>
          <w:sz w:val="20"/>
        </w:rPr>
        <w:t xml:space="preserve">Advisory </w:t>
      </w:r>
      <w:r w:rsidR="00671ED3" w:rsidRPr="003A4403">
        <w:rPr>
          <w:sz w:val="20"/>
        </w:rPr>
        <w:t>Board</w:t>
      </w:r>
      <w:r w:rsidRPr="003A4403">
        <w:rPr>
          <w:sz w:val="20"/>
        </w:rPr>
        <w:t xml:space="preserve">, indicates additional applications that will receive funding </w:t>
      </w:r>
      <w:r w:rsidR="00AD202D" w:rsidRPr="003A4403">
        <w:rPr>
          <w:sz w:val="20"/>
        </w:rPr>
        <w:t>–</w:t>
      </w:r>
      <w:r w:rsidRPr="003A4403">
        <w:rPr>
          <w:sz w:val="20"/>
        </w:rPr>
        <w:t xml:space="preserve"> a maximum of 25% of applications (the so-called strategic </w:t>
      </w:r>
      <w:proofErr w:type="spellStart"/>
      <w:r w:rsidRPr="003A4403">
        <w:rPr>
          <w:sz w:val="20"/>
        </w:rPr>
        <w:t>MiniGrants</w:t>
      </w:r>
      <w:proofErr w:type="spellEnd"/>
      <w:r w:rsidRPr="003A4403">
        <w:rPr>
          <w:sz w:val="20"/>
        </w:rPr>
        <w:t>). When selecting additional applications, we follow the Fund's priorities as well as the geographic and thematic diversity of applications.</w:t>
      </w:r>
    </w:p>
    <w:p w14:paraId="47D3F648" w14:textId="4E36D8A2" w:rsidR="00095010" w:rsidRPr="003A4403" w:rsidRDefault="00EF41E5">
      <w:pPr>
        <w:pStyle w:val="P68B1DB1-Akapitzlist3"/>
        <w:ind w:left="0"/>
        <w:jc w:val="both"/>
        <w:rPr>
          <w:sz w:val="20"/>
        </w:rPr>
      </w:pPr>
      <w:r w:rsidRPr="003A4403">
        <w:rPr>
          <w:sz w:val="20"/>
        </w:rPr>
        <w:t xml:space="preserve">14. In case of doubts whether a group / organization on the ranking list meets the conditions of the </w:t>
      </w:r>
      <w:r w:rsidR="005C6129" w:rsidRPr="003A4403">
        <w:rPr>
          <w:sz w:val="20"/>
        </w:rPr>
        <w:t>6</w:t>
      </w:r>
      <w:r w:rsidRPr="003A4403">
        <w:rPr>
          <w:sz w:val="20"/>
          <w:vertAlign w:val="superscript"/>
        </w:rPr>
        <w:t>th</w:t>
      </w:r>
      <w:r w:rsidRPr="003A4403">
        <w:rPr>
          <w:sz w:val="20"/>
        </w:rPr>
        <w:t xml:space="preserve"> edition of </w:t>
      </w:r>
      <w:proofErr w:type="spellStart"/>
      <w:r w:rsidRPr="003A4403">
        <w:rPr>
          <w:sz w:val="20"/>
        </w:rPr>
        <w:t>MiniGrants</w:t>
      </w:r>
      <w:proofErr w:type="spellEnd"/>
      <w:r w:rsidRPr="003A4403">
        <w:rPr>
          <w:sz w:val="20"/>
        </w:rPr>
        <w:t xml:space="preserve">, the </w:t>
      </w:r>
      <w:r w:rsidR="00AD202D" w:rsidRPr="003A4403">
        <w:rPr>
          <w:sz w:val="20"/>
        </w:rPr>
        <w:t xml:space="preserve">Fund’s </w:t>
      </w:r>
      <w:r w:rsidRPr="003A4403">
        <w:rPr>
          <w:sz w:val="20"/>
        </w:rPr>
        <w:t xml:space="preserve">team may approach the group / organization and verify who creates the group and how the group works. In justified cases, the team may withdraw the decision to award a </w:t>
      </w:r>
      <w:proofErr w:type="spellStart"/>
      <w:r w:rsidRPr="003A4403">
        <w:rPr>
          <w:sz w:val="20"/>
        </w:rPr>
        <w:t>MiniGrant</w:t>
      </w:r>
      <w:proofErr w:type="spellEnd"/>
      <w:r w:rsidRPr="003A4403">
        <w:rPr>
          <w:sz w:val="20"/>
        </w:rPr>
        <w:t>.</w:t>
      </w:r>
    </w:p>
    <w:p w14:paraId="299C1122" w14:textId="7626C220" w:rsidR="00095010" w:rsidRPr="003A4403" w:rsidRDefault="00EF41E5">
      <w:pPr>
        <w:pStyle w:val="P68B1DB1-Normalny5"/>
        <w:jc w:val="both"/>
        <w:rPr>
          <w:sz w:val="20"/>
        </w:rPr>
      </w:pPr>
      <w:r w:rsidRPr="003A4403">
        <w:rPr>
          <w:sz w:val="20"/>
        </w:rPr>
        <w:t xml:space="preserve">Implementation of activities </w:t>
      </w:r>
      <w:r w:rsidR="00824CF0" w:rsidRPr="003A4403">
        <w:rPr>
          <w:sz w:val="20"/>
        </w:rPr>
        <w:t>financed by</w:t>
      </w:r>
      <w:r w:rsidRPr="003A4403">
        <w:rPr>
          <w:sz w:val="20"/>
        </w:rPr>
        <w:t xml:space="preserve"> </w:t>
      </w:r>
      <w:proofErr w:type="spellStart"/>
      <w:r w:rsidRPr="003A4403">
        <w:rPr>
          <w:sz w:val="20"/>
        </w:rPr>
        <w:t>MiniGrants</w:t>
      </w:r>
      <w:proofErr w:type="spellEnd"/>
    </w:p>
    <w:p w14:paraId="634A0B2F" w14:textId="40C676AC" w:rsidR="00095010" w:rsidRPr="003A4403" w:rsidRDefault="00EF41E5">
      <w:pPr>
        <w:pStyle w:val="P68B1DB1-Normalny2"/>
        <w:jc w:val="both"/>
        <w:rPr>
          <w:sz w:val="20"/>
        </w:rPr>
      </w:pPr>
      <w:r w:rsidRPr="003A4403">
        <w:rPr>
          <w:sz w:val="20"/>
        </w:rPr>
        <w:t xml:space="preserve">15. You can conduct your activities from </w:t>
      </w:r>
      <w:r w:rsidR="005C6129" w:rsidRPr="003A4403">
        <w:rPr>
          <w:sz w:val="20"/>
        </w:rPr>
        <w:t>April</w:t>
      </w:r>
      <w:r w:rsidRPr="003A4403">
        <w:rPr>
          <w:sz w:val="20"/>
        </w:rPr>
        <w:t xml:space="preserve"> 1</w:t>
      </w:r>
      <w:r w:rsidR="005C6129" w:rsidRPr="003A4403">
        <w:rPr>
          <w:sz w:val="20"/>
        </w:rPr>
        <w:t>0</w:t>
      </w:r>
      <w:r w:rsidRPr="003A4403">
        <w:rPr>
          <w:sz w:val="20"/>
        </w:rPr>
        <w:t xml:space="preserve"> to October 31, 202</w:t>
      </w:r>
      <w:r w:rsidR="005C6129" w:rsidRPr="003A4403">
        <w:rPr>
          <w:sz w:val="20"/>
        </w:rPr>
        <w:t>3</w:t>
      </w:r>
      <w:r w:rsidRPr="003A4403">
        <w:rPr>
          <w:sz w:val="20"/>
        </w:rPr>
        <w:t>.</w:t>
      </w:r>
    </w:p>
    <w:p w14:paraId="2A9BEF01" w14:textId="48743B49" w:rsidR="00095010" w:rsidRPr="003A4403" w:rsidRDefault="00EF41E5">
      <w:pPr>
        <w:pStyle w:val="P68B1DB1-Normalny2"/>
        <w:jc w:val="both"/>
        <w:rPr>
          <w:sz w:val="20"/>
        </w:rPr>
      </w:pPr>
      <w:r w:rsidRPr="003A4403">
        <w:rPr>
          <w:sz w:val="20"/>
        </w:rPr>
        <w:t>16. If you plan to collect fees as part of the implemented activity, write about it in the application.</w:t>
      </w:r>
    </w:p>
    <w:p w14:paraId="3B2CC68A" w14:textId="7E5B0A8C" w:rsidR="00095010" w:rsidRPr="003A4403" w:rsidRDefault="00EF41E5">
      <w:pPr>
        <w:pStyle w:val="P68B1DB1-Normalny2"/>
        <w:jc w:val="both"/>
        <w:rPr>
          <w:sz w:val="20"/>
        </w:rPr>
      </w:pPr>
      <w:r w:rsidRPr="003A4403">
        <w:rPr>
          <w:sz w:val="20"/>
        </w:rPr>
        <w:t xml:space="preserve">17. During the implementation of </w:t>
      </w:r>
      <w:proofErr w:type="spellStart"/>
      <w:r w:rsidRPr="003A4403">
        <w:rPr>
          <w:sz w:val="20"/>
        </w:rPr>
        <w:t>MiniGrants</w:t>
      </w:r>
      <w:proofErr w:type="spellEnd"/>
      <w:r w:rsidRPr="003A4403">
        <w:rPr>
          <w:sz w:val="20"/>
        </w:rPr>
        <w:t xml:space="preserve">, the team of the Feminist Fund tries to stay in touch with the Grantees on an ongoing basis, which is related </w:t>
      </w:r>
      <w:r w:rsidR="008A657E" w:rsidRPr="003A4403">
        <w:rPr>
          <w:sz w:val="20"/>
        </w:rPr>
        <w:t>with</w:t>
      </w:r>
      <w:r w:rsidRPr="003A4403">
        <w:rPr>
          <w:sz w:val="20"/>
        </w:rPr>
        <w:t xml:space="preserve">, </w:t>
      </w:r>
      <w:r w:rsidR="008A657E" w:rsidRPr="003A4403">
        <w:rPr>
          <w:sz w:val="20"/>
        </w:rPr>
        <w:t>among other things</w:t>
      </w:r>
      <w:r w:rsidRPr="003A4403">
        <w:rPr>
          <w:sz w:val="20"/>
        </w:rPr>
        <w:t>, visits to Grantees</w:t>
      </w:r>
      <w:r w:rsidR="00890D30" w:rsidRPr="003A4403">
        <w:rPr>
          <w:sz w:val="20"/>
        </w:rPr>
        <w:t>’</w:t>
      </w:r>
      <w:r w:rsidRPr="003A4403">
        <w:rPr>
          <w:sz w:val="20"/>
        </w:rPr>
        <w:t xml:space="preserve"> and documenting the implementation of planned activities.</w:t>
      </w:r>
    </w:p>
    <w:p w14:paraId="05B0A190" w14:textId="4CCB91A4" w:rsidR="005C6129" w:rsidRPr="003A4403" w:rsidRDefault="005C6129">
      <w:pPr>
        <w:pStyle w:val="P68B1DB1-Normalny2"/>
        <w:jc w:val="both"/>
        <w:rPr>
          <w:sz w:val="20"/>
        </w:rPr>
      </w:pPr>
      <w:r w:rsidRPr="003A4403">
        <w:rPr>
          <w:sz w:val="20"/>
        </w:rPr>
        <w:t xml:space="preserve">18 The activities funded by the </w:t>
      </w:r>
      <w:proofErr w:type="spellStart"/>
      <w:r w:rsidRPr="003A4403">
        <w:rPr>
          <w:sz w:val="20"/>
        </w:rPr>
        <w:t>MiniGrant</w:t>
      </w:r>
      <w:proofErr w:type="spellEnd"/>
      <w:r w:rsidRPr="003A4403">
        <w:rPr>
          <w:sz w:val="20"/>
        </w:rPr>
        <w:t xml:space="preserve"> may change during their implementation, if you deem it necessary and justified by the circumstances. The important thing is that these changes still correspond to the goals and needs diagnosis described in the application. This is what groups/organizations are guided by when selecting your application for funding: the diagnosis of needs, the purpose of the activity and, finally, the specific idea. </w:t>
      </w:r>
    </w:p>
    <w:p w14:paraId="3FC9796B" w14:textId="1F957F08" w:rsidR="00095010" w:rsidRPr="003A4403" w:rsidRDefault="00EF41E5">
      <w:pPr>
        <w:pStyle w:val="P68B1DB1-Normalny2"/>
        <w:jc w:val="both"/>
        <w:rPr>
          <w:sz w:val="20"/>
        </w:rPr>
      </w:pPr>
      <w:r w:rsidRPr="003A4403">
        <w:rPr>
          <w:sz w:val="20"/>
        </w:rPr>
        <w:t>1</w:t>
      </w:r>
      <w:r w:rsidR="005C6129" w:rsidRPr="003A4403">
        <w:rPr>
          <w:sz w:val="20"/>
        </w:rPr>
        <w:t>9</w:t>
      </w:r>
      <w:r w:rsidRPr="003A4403">
        <w:rPr>
          <w:sz w:val="20"/>
        </w:rPr>
        <w:t xml:space="preserve">. The expenses financed from </w:t>
      </w:r>
      <w:r w:rsidR="00890D30" w:rsidRPr="003A4403">
        <w:rPr>
          <w:sz w:val="20"/>
        </w:rPr>
        <w:t xml:space="preserve">the </w:t>
      </w:r>
      <w:proofErr w:type="spellStart"/>
      <w:r w:rsidRPr="003A4403">
        <w:rPr>
          <w:sz w:val="20"/>
        </w:rPr>
        <w:t>MiniGrant</w:t>
      </w:r>
      <w:proofErr w:type="spellEnd"/>
      <w:r w:rsidRPr="003A4403">
        <w:rPr>
          <w:sz w:val="20"/>
        </w:rPr>
        <w:t xml:space="preserve"> are documented by you, and all accounting documents are stored.</w:t>
      </w:r>
    </w:p>
    <w:p w14:paraId="2F43DD2E" w14:textId="755AEEDE" w:rsidR="00095010" w:rsidRPr="003A4403" w:rsidRDefault="005C6129">
      <w:pPr>
        <w:pStyle w:val="P68B1DB1-Normalny2"/>
        <w:jc w:val="both"/>
        <w:rPr>
          <w:sz w:val="20"/>
        </w:rPr>
      </w:pPr>
      <w:r w:rsidRPr="003A4403">
        <w:rPr>
          <w:sz w:val="20"/>
        </w:rPr>
        <w:t>20</w:t>
      </w:r>
      <w:r w:rsidR="00EF41E5" w:rsidRPr="003A4403">
        <w:rPr>
          <w:sz w:val="20"/>
        </w:rPr>
        <w:t xml:space="preserve">. After the implementation of </w:t>
      </w:r>
      <w:r w:rsidR="00A7649A" w:rsidRPr="003A4403">
        <w:rPr>
          <w:sz w:val="20"/>
        </w:rPr>
        <w:t xml:space="preserve">the </w:t>
      </w:r>
      <w:proofErr w:type="spellStart"/>
      <w:r w:rsidR="00EF41E5" w:rsidRPr="003A4403">
        <w:rPr>
          <w:sz w:val="20"/>
        </w:rPr>
        <w:t>MiniGrant</w:t>
      </w:r>
      <w:proofErr w:type="spellEnd"/>
      <w:r w:rsidR="00EF41E5" w:rsidRPr="003A4403">
        <w:rPr>
          <w:sz w:val="20"/>
        </w:rPr>
        <w:t>, we will ask you to prepare a summary of the activities conducted</w:t>
      </w:r>
      <w:r w:rsidR="00D56028" w:rsidRPr="003A4403">
        <w:rPr>
          <w:sz w:val="20"/>
        </w:rPr>
        <w:t>,</w:t>
      </w:r>
      <w:r w:rsidR="00EF41E5" w:rsidRPr="003A4403">
        <w:rPr>
          <w:sz w:val="20"/>
        </w:rPr>
        <w:t xml:space="preserve"> together with a description of the expenses. We will also invite you to participate in the Grantee meeting summarizing the implemented activities.</w:t>
      </w:r>
    </w:p>
    <w:p w14:paraId="59890959" w14:textId="2FD61E76" w:rsidR="00095010" w:rsidRPr="003A4403" w:rsidRDefault="00EF41E5">
      <w:pPr>
        <w:jc w:val="both"/>
        <w:rPr>
          <w:rFonts w:ascii="PT Serif" w:hAnsi="PT Serif"/>
          <w:sz w:val="20"/>
        </w:rPr>
      </w:pPr>
      <w:r w:rsidRPr="003A4403">
        <w:rPr>
          <w:rFonts w:ascii="PT Serif" w:hAnsi="PT Serif"/>
          <w:sz w:val="20"/>
        </w:rPr>
        <w:t>2</w:t>
      </w:r>
      <w:r w:rsidR="005C6129" w:rsidRPr="003A4403">
        <w:rPr>
          <w:rFonts w:ascii="PT Serif" w:hAnsi="PT Serif"/>
          <w:sz w:val="20"/>
        </w:rPr>
        <w:t>1</w:t>
      </w:r>
      <w:r w:rsidRPr="003A4403">
        <w:rPr>
          <w:rFonts w:ascii="PT Serif" w:hAnsi="PT Serif"/>
          <w:sz w:val="20"/>
        </w:rPr>
        <w:t xml:space="preserve">. We encourage you to share content and other materials produced under </w:t>
      </w:r>
      <w:proofErr w:type="spellStart"/>
      <w:r w:rsidRPr="003A4403">
        <w:rPr>
          <w:rFonts w:ascii="PT Serif" w:hAnsi="PT Serif"/>
          <w:sz w:val="20"/>
        </w:rPr>
        <w:t>MiniGrants</w:t>
      </w:r>
      <w:proofErr w:type="spellEnd"/>
      <w:r w:rsidRPr="003A4403">
        <w:rPr>
          <w:rFonts w:ascii="PT Serif" w:hAnsi="PT Serif"/>
          <w:sz w:val="20"/>
        </w:rPr>
        <w:t xml:space="preserve"> under free licenses. More information about free licenses can be found at: </w:t>
      </w:r>
      <w:hyperlink r:id="rId11" w:history="1">
        <w:r w:rsidRPr="003A4403">
          <w:rPr>
            <w:rStyle w:val="Hipercze"/>
            <w:rFonts w:ascii="PT Serif" w:hAnsi="PT Serif"/>
            <w:sz w:val="20"/>
          </w:rPr>
          <w:t>https://creativecommons.pl/poznajlicencje-creativecommons/</w:t>
        </w:r>
      </w:hyperlink>
      <w:r w:rsidRPr="003A4403">
        <w:rPr>
          <w:rFonts w:ascii="PT Serif" w:hAnsi="PT Serif"/>
          <w:sz w:val="20"/>
        </w:rPr>
        <w:t xml:space="preserve"> </w:t>
      </w:r>
    </w:p>
    <w:p w14:paraId="3A90C6FE" w14:textId="60F436D8" w:rsidR="00EA3BE0" w:rsidRPr="003A4403" w:rsidRDefault="00EA3BE0" w:rsidP="00EA3BE0">
      <w:pPr>
        <w:jc w:val="both"/>
        <w:rPr>
          <w:rFonts w:ascii="PT Serif" w:hAnsi="PT Serif"/>
          <w:b/>
          <w:bCs/>
          <w:sz w:val="20"/>
          <w:u w:val="single"/>
        </w:rPr>
      </w:pPr>
      <w:r w:rsidRPr="003A4403">
        <w:rPr>
          <w:rFonts w:ascii="PT Serif" w:hAnsi="PT Serif"/>
          <w:b/>
          <w:bCs/>
          <w:sz w:val="20"/>
          <w:u w:val="single"/>
        </w:rPr>
        <w:t>Timeline of the 6</w:t>
      </w:r>
      <w:r w:rsidRPr="003A4403">
        <w:rPr>
          <w:rFonts w:ascii="PT Serif" w:hAnsi="PT Serif"/>
          <w:b/>
          <w:bCs/>
          <w:sz w:val="20"/>
          <w:u w:val="single"/>
          <w:vertAlign w:val="superscript"/>
        </w:rPr>
        <w:t>th</w:t>
      </w:r>
      <w:r w:rsidRPr="003A4403">
        <w:rPr>
          <w:rFonts w:ascii="PT Serif" w:hAnsi="PT Serif"/>
          <w:b/>
          <w:bCs/>
          <w:sz w:val="20"/>
          <w:u w:val="single"/>
        </w:rPr>
        <w:t xml:space="preserve"> edition of the </w:t>
      </w:r>
      <w:proofErr w:type="spellStart"/>
      <w:r w:rsidRPr="003A4403">
        <w:rPr>
          <w:rFonts w:ascii="PT Serif" w:hAnsi="PT Serif"/>
          <w:b/>
          <w:bCs/>
          <w:sz w:val="20"/>
          <w:u w:val="single"/>
        </w:rPr>
        <w:t>MiniGrants</w:t>
      </w:r>
      <w:proofErr w:type="spellEnd"/>
      <w:r w:rsidRPr="003A4403">
        <w:rPr>
          <w:rFonts w:ascii="PT Serif" w:hAnsi="PT Serif"/>
          <w:b/>
          <w:bCs/>
          <w:sz w:val="20"/>
          <w:u w:val="single"/>
        </w:rPr>
        <w:t xml:space="preserve"> – 2023</w:t>
      </w:r>
    </w:p>
    <w:p w14:paraId="3C85AFD7" w14:textId="226869E5" w:rsidR="00EA3BE0" w:rsidRPr="003A4403" w:rsidRDefault="00EA3BE0" w:rsidP="00EA3BE0">
      <w:pPr>
        <w:pStyle w:val="Akapitzlist"/>
        <w:numPr>
          <w:ilvl w:val="0"/>
          <w:numId w:val="9"/>
        </w:numPr>
        <w:spacing w:before="100" w:beforeAutospacing="1" w:after="100" w:afterAutospacing="1" w:line="276" w:lineRule="auto"/>
        <w:ind w:left="851"/>
        <w:jc w:val="both"/>
        <w:rPr>
          <w:rFonts w:ascii="PT Serif" w:hAnsi="PT Serif"/>
          <w:sz w:val="20"/>
        </w:rPr>
      </w:pPr>
      <w:r w:rsidRPr="003A4403">
        <w:rPr>
          <w:rFonts w:ascii="PT Serif" w:hAnsi="PT Serif"/>
          <w:sz w:val="20"/>
        </w:rPr>
        <w:t>January 23 – February 6 (until 1:00 pm) – submission of applications</w:t>
      </w:r>
    </w:p>
    <w:p w14:paraId="6FB7AB50" w14:textId="39369F68" w:rsidR="00EA3BE0" w:rsidRPr="003A4403" w:rsidRDefault="00EA3BE0" w:rsidP="00EA3BE0">
      <w:pPr>
        <w:pStyle w:val="Akapitzlist"/>
        <w:numPr>
          <w:ilvl w:val="0"/>
          <w:numId w:val="9"/>
        </w:numPr>
        <w:spacing w:before="100" w:beforeAutospacing="1" w:after="100" w:afterAutospacing="1" w:line="276" w:lineRule="auto"/>
        <w:ind w:left="851"/>
        <w:jc w:val="both"/>
        <w:rPr>
          <w:rFonts w:ascii="PT Serif" w:hAnsi="PT Serif"/>
          <w:sz w:val="20"/>
        </w:rPr>
      </w:pPr>
      <w:r w:rsidRPr="003A4403">
        <w:rPr>
          <w:rFonts w:ascii="PT Serif" w:hAnsi="PT Serif"/>
          <w:sz w:val="20"/>
        </w:rPr>
        <w:t>March 6 –</w:t>
      </w:r>
      <w:r w:rsidR="00332F06" w:rsidRPr="003A4403">
        <w:rPr>
          <w:rFonts w:ascii="PT Serif" w:hAnsi="PT Serif"/>
          <w:sz w:val="20"/>
        </w:rPr>
        <w:t xml:space="preserve"> </w:t>
      </w:r>
      <w:r w:rsidRPr="003A4403">
        <w:rPr>
          <w:rFonts w:ascii="PT Serif" w:hAnsi="PT Serif"/>
          <w:sz w:val="20"/>
        </w:rPr>
        <w:t>announcing the results of the first stage</w:t>
      </w:r>
    </w:p>
    <w:p w14:paraId="7433FE97" w14:textId="0E5562A2" w:rsidR="00EA3BE0" w:rsidRPr="003A4403" w:rsidRDefault="00EA3BE0" w:rsidP="00EA3BE0">
      <w:pPr>
        <w:pStyle w:val="Akapitzlist"/>
        <w:numPr>
          <w:ilvl w:val="0"/>
          <w:numId w:val="9"/>
        </w:numPr>
        <w:spacing w:before="100" w:beforeAutospacing="1" w:after="100" w:afterAutospacing="1" w:line="276" w:lineRule="auto"/>
        <w:ind w:left="851"/>
        <w:jc w:val="both"/>
        <w:rPr>
          <w:rFonts w:ascii="PT Serif" w:hAnsi="PT Serif"/>
          <w:sz w:val="20"/>
        </w:rPr>
      </w:pPr>
      <w:r w:rsidRPr="003A4403">
        <w:rPr>
          <w:rFonts w:ascii="PT Serif" w:hAnsi="PT Serif"/>
          <w:sz w:val="20"/>
        </w:rPr>
        <w:t>March 8 –</w:t>
      </w:r>
      <w:r w:rsidR="00332F06" w:rsidRPr="003A4403">
        <w:rPr>
          <w:rFonts w:ascii="PT Serif" w:hAnsi="PT Serif"/>
          <w:sz w:val="20"/>
        </w:rPr>
        <w:t xml:space="preserve"> </w:t>
      </w:r>
      <w:r w:rsidRPr="003A4403">
        <w:rPr>
          <w:rFonts w:ascii="PT Serif" w:hAnsi="PT Serif"/>
          <w:sz w:val="20"/>
        </w:rPr>
        <w:t xml:space="preserve">March 21 (by 1:00 pm) – selection of applications by groups/organizations that have passed to stage II </w:t>
      </w:r>
    </w:p>
    <w:p w14:paraId="09BAE1AB" w14:textId="5F1354A6" w:rsidR="00EA3BE0" w:rsidRPr="003A4403" w:rsidRDefault="00EA3BE0" w:rsidP="00EA3BE0">
      <w:pPr>
        <w:pStyle w:val="Akapitzlist"/>
        <w:numPr>
          <w:ilvl w:val="0"/>
          <w:numId w:val="9"/>
        </w:numPr>
        <w:spacing w:before="100" w:beforeAutospacing="1" w:after="100" w:afterAutospacing="1" w:line="276" w:lineRule="auto"/>
        <w:ind w:left="851"/>
        <w:jc w:val="both"/>
        <w:rPr>
          <w:rFonts w:ascii="PT Serif" w:hAnsi="PT Serif"/>
          <w:sz w:val="20"/>
        </w:rPr>
      </w:pPr>
      <w:r w:rsidRPr="003A4403">
        <w:rPr>
          <w:rFonts w:ascii="PT Serif" w:hAnsi="PT Serif"/>
          <w:sz w:val="20"/>
        </w:rPr>
        <w:t>April 6 –</w:t>
      </w:r>
      <w:r w:rsidR="00332F06" w:rsidRPr="003A4403">
        <w:rPr>
          <w:rFonts w:ascii="PT Serif" w:hAnsi="PT Serif"/>
          <w:sz w:val="20"/>
        </w:rPr>
        <w:t xml:space="preserve"> </w:t>
      </w:r>
      <w:r w:rsidRPr="003A4403">
        <w:rPr>
          <w:rFonts w:ascii="PT Serif" w:hAnsi="PT Serif"/>
          <w:sz w:val="20"/>
        </w:rPr>
        <w:t>announcing the results of the 6</w:t>
      </w:r>
      <w:r w:rsidRPr="003A4403">
        <w:rPr>
          <w:rFonts w:ascii="PT Serif" w:hAnsi="PT Serif"/>
          <w:sz w:val="20"/>
          <w:vertAlign w:val="superscript"/>
        </w:rPr>
        <w:t>th</w:t>
      </w:r>
      <w:r w:rsidRPr="003A4403">
        <w:rPr>
          <w:rFonts w:ascii="PT Serif" w:hAnsi="PT Serif"/>
          <w:sz w:val="20"/>
        </w:rPr>
        <w:t xml:space="preserve"> edition of </w:t>
      </w:r>
      <w:proofErr w:type="spellStart"/>
      <w:r w:rsidRPr="003A4403">
        <w:rPr>
          <w:rFonts w:ascii="PT Serif" w:hAnsi="PT Serif"/>
          <w:sz w:val="20"/>
        </w:rPr>
        <w:t>MiniGrants</w:t>
      </w:r>
      <w:proofErr w:type="spellEnd"/>
    </w:p>
    <w:p w14:paraId="21902265" w14:textId="03AD5FCB" w:rsidR="00EA3BE0" w:rsidRPr="003A4403" w:rsidRDefault="00EA3BE0" w:rsidP="00EA3BE0">
      <w:pPr>
        <w:pStyle w:val="Akapitzlist"/>
        <w:numPr>
          <w:ilvl w:val="0"/>
          <w:numId w:val="9"/>
        </w:numPr>
        <w:spacing w:before="100" w:beforeAutospacing="1" w:after="100" w:afterAutospacing="1" w:line="276" w:lineRule="auto"/>
        <w:ind w:left="851"/>
        <w:jc w:val="both"/>
        <w:rPr>
          <w:rFonts w:ascii="PT Serif" w:hAnsi="PT Serif"/>
          <w:sz w:val="20"/>
        </w:rPr>
      </w:pPr>
      <w:r w:rsidRPr="003A4403">
        <w:rPr>
          <w:rFonts w:ascii="PT Serif" w:hAnsi="PT Serif"/>
          <w:sz w:val="20"/>
        </w:rPr>
        <w:lastRenderedPageBreak/>
        <w:t xml:space="preserve">April 10 – October 31 – </w:t>
      </w:r>
      <w:r w:rsidRPr="003A4403">
        <w:rPr>
          <w:rFonts w:ascii="PT Serif" w:hAnsi="PT Serif"/>
          <w:b/>
          <w:bCs/>
          <w:sz w:val="20"/>
        </w:rPr>
        <w:t>deadline for implementation of activities</w:t>
      </w:r>
      <w:r w:rsidRPr="003A4403">
        <w:rPr>
          <w:rFonts w:ascii="PT Serif" w:hAnsi="PT Serif"/>
          <w:sz w:val="20"/>
        </w:rPr>
        <w:t>* within the 6</w:t>
      </w:r>
      <w:r w:rsidRPr="003A4403">
        <w:rPr>
          <w:rFonts w:ascii="PT Serif" w:hAnsi="PT Serif"/>
          <w:sz w:val="20"/>
          <w:vertAlign w:val="superscript"/>
        </w:rPr>
        <w:t>th</w:t>
      </w:r>
      <w:r w:rsidRPr="003A4403">
        <w:rPr>
          <w:rFonts w:ascii="PT Serif" w:hAnsi="PT Serif"/>
          <w:sz w:val="20"/>
        </w:rPr>
        <w:t xml:space="preserve"> edition of </w:t>
      </w:r>
      <w:proofErr w:type="spellStart"/>
      <w:r w:rsidRPr="003A4403">
        <w:rPr>
          <w:rFonts w:ascii="PT Serif" w:hAnsi="PT Serif"/>
          <w:sz w:val="20"/>
        </w:rPr>
        <w:t>MiniGrants</w:t>
      </w:r>
      <w:proofErr w:type="spellEnd"/>
      <w:r w:rsidRPr="003A4403">
        <w:rPr>
          <w:rFonts w:ascii="PT Serif" w:hAnsi="PT Serif"/>
          <w:sz w:val="20"/>
        </w:rPr>
        <w:t xml:space="preserve"> and submission of a summary</w:t>
      </w:r>
    </w:p>
    <w:p w14:paraId="3E5395EC" w14:textId="2E183439" w:rsidR="00EA3BE0" w:rsidRPr="003A4403" w:rsidRDefault="00EA3BE0" w:rsidP="00EA3BE0">
      <w:pPr>
        <w:spacing w:before="100" w:beforeAutospacing="1" w:after="100" w:afterAutospacing="1" w:line="276" w:lineRule="auto"/>
        <w:jc w:val="both"/>
        <w:rPr>
          <w:rFonts w:ascii="PT Serif" w:hAnsi="PT Serif"/>
          <w:sz w:val="20"/>
        </w:rPr>
      </w:pPr>
      <w:r w:rsidRPr="003A4403">
        <w:rPr>
          <w:rFonts w:ascii="PT Serif" w:hAnsi="PT Serif"/>
          <w:sz w:val="20"/>
        </w:rPr>
        <w:t xml:space="preserve">*Note: signing of contracts and transfer of </w:t>
      </w:r>
      <w:proofErr w:type="spellStart"/>
      <w:r w:rsidRPr="003A4403">
        <w:rPr>
          <w:rFonts w:ascii="PT Serif" w:hAnsi="PT Serif"/>
          <w:sz w:val="20"/>
        </w:rPr>
        <w:t>MiniGrant</w:t>
      </w:r>
      <w:proofErr w:type="spellEnd"/>
      <w:r w:rsidRPr="003A4403">
        <w:rPr>
          <w:rFonts w:ascii="PT Serif" w:hAnsi="PT Serif"/>
          <w:sz w:val="20"/>
        </w:rPr>
        <w:t xml:space="preserve"> usually takes about a month after the announcement of results – during this time we collect data for contracts, carry out calls to meet you, send contracts to you and wait for signed contracts from you. You can implement activities from April 10, but realistically the money will reach you a few weeks later.</w:t>
      </w:r>
    </w:p>
    <w:p w14:paraId="79387ACA" w14:textId="40CAC77B" w:rsidR="00095010" w:rsidRPr="003A4403" w:rsidRDefault="00EF41E5" w:rsidP="00EA3BE0">
      <w:pPr>
        <w:spacing w:before="100" w:beforeAutospacing="1" w:after="100" w:afterAutospacing="1" w:line="276" w:lineRule="auto"/>
        <w:jc w:val="both"/>
        <w:rPr>
          <w:rFonts w:ascii="PT Serif" w:hAnsi="PT Serif"/>
          <w:b/>
          <w:bCs/>
          <w:sz w:val="20"/>
          <w:u w:val="single"/>
        </w:rPr>
      </w:pPr>
      <w:r w:rsidRPr="003A4403">
        <w:rPr>
          <w:rFonts w:ascii="PT Serif" w:hAnsi="PT Serif"/>
          <w:b/>
          <w:bCs/>
          <w:sz w:val="20"/>
          <w:u w:val="single"/>
        </w:rPr>
        <w:t>Information about the processing of personal data</w:t>
      </w:r>
    </w:p>
    <w:p w14:paraId="1B41AF2A" w14:textId="77777777" w:rsidR="003A4403" w:rsidRPr="00F41E5B" w:rsidRDefault="003A4403" w:rsidP="003A4403">
      <w:pPr>
        <w:pStyle w:val="Akapitzlist1"/>
        <w:spacing w:after="120" w:line="264" w:lineRule="auto"/>
        <w:ind w:left="0"/>
        <w:jc w:val="both"/>
        <w:rPr>
          <w:rFonts w:ascii="PT Serif" w:eastAsia="Arial" w:hAnsi="PT Serif" w:cs="Arial"/>
          <w:sz w:val="20"/>
          <w:bdr w:val="none" w:sz="0" w:space="0" w:color="auto"/>
        </w:rPr>
      </w:pPr>
      <w:r w:rsidRPr="00F41E5B">
        <w:rPr>
          <w:rFonts w:ascii="PT Serif" w:eastAsia="Arial" w:hAnsi="PT Serif" w:cs="Arial"/>
          <w:sz w:val="20"/>
          <w:bdr w:val="none" w:sz="0" w:space="0" w:color="auto"/>
        </w:rPr>
        <w:t>The administrator of your personal data provided in the application is the Feminist Fund (</w:t>
      </w:r>
      <w:proofErr w:type="spellStart"/>
      <w:r w:rsidRPr="00F41E5B">
        <w:rPr>
          <w:rFonts w:ascii="PT Serif" w:eastAsia="Arial" w:hAnsi="PT Serif" w:cs="Arial"/>
          <w:sz w:val="20"/>
          <w:bdr w:val="none" w:sz="0" w:space="0" w:color="auto"/>
        </w:rPr>
        <w:t>ul</w:t>
      </w:r>
      <w:proofErr w:type="spellEnd"/>
      <w:r w:rsidRPr="00F41E5B">
        <w:rPr>
          <w:rFonts w:ascii="PT Serif" w:eastAsia="Arial" w:hAnsi="PT Serif" w:cs="Arial"/>
          <w:sz w:val="20"/>
          <w:bdr w:val="none" w:sz="0" w:space="0" w:color="auto"/>
        </w:rPr>
        <w:t xml:space="preserve">. </w:t>
      </w:r>
      <w:proofErr w:type="spellStart"/>
      <w:r w:rsidRPr="00F41E5B">
        <w:rPr>
          <w:rFonts w:ascii="PT Serif" w:eastAsia="Arial" w:hAnsi="PT Serif" w:cs="Arial"/>
          <w:sz w:val="20"/>
          <w:bdr w:val="none" w:sz="0" w:space="0" w:color="auto"/>
        </w:rPr>
        <w:t>Wspólna</w:t>
      </w:r>
      <w:proofErr w:type="spellEnd"/>
      <w:r w:rsidRPr="00F41E5B">
        <w:rPr>
          <w:rFonts w:ascii="PT Serif" w:eastAsia="Arial" w:hAnsi="PT Serif" w:cs="Arial"/>
          <w:sz w:val="20"/>
          <w:bdr w:val="none" w:sz="0" w:space="0" w:color="auto"/>
        </w:rPr>
        <w:t xml:space="preserve"> 61/102, 00-687 Warsaw), represented by members of the management board, e-mail contact</w:t>
      </w:r>
      <w:hyperlink r:id="rId12" w:history="1">
        <w:r w:rsidRPr="00F41E5B">
          <w:rPr>
            <w:rFonts w:ascii="PT Serif" w:eastAsia="Arial" w:hAnsi="PT Serif" w:cs="Arial"/>
            <w:sz w:val="20"/>
            <w:bdr w:val="none" w:sz="0" w:space="0" w:color="auto"/>
          </w:rPr>
          <w:t>:</w:t>
        </w:r>
      </w:hyperlink>
      <w:r w:rsidRPr="00F41E5B">
        <w:rPr>
          <w:rFonts w:ascii="PT Serif" w:eastAsia="Arial" w:hAnsi="PT Serif" w:cs="Arial"/>
          <w:sz w:val="20"/>
          <w:bdr w:val="none" w:sz="0" w:space="0" w:color="auto"/>
        </w:rPr>
        <w:t xml:space="preserve"> kontakt@femfund.pl. We process your data in order to implement the following activities of the Fund: grant contest (collection and analysis of applications, selection of applications that will receive funding, evaluation), organization of networking, support, and educational events, as well as for contact, reporting, and archiving purposes. The legal basis for your personal data processing is ar</w:t>
      </w:r>
      <w:r>
        <w:rPr>
          <w:rFonts w:ascii="PT Serif" w:eastAsia="Arial" w:hAnsi="PT Serif" w:cs="Arial"/>
          <w:sz w:val="20"/>
          <w:bdr w:val="none" w:sz="0" w:space="0" w:color="auto"/>
        </w:rPr>
        <w:t>ticle</w:t>
      </w:r>
      <w:r w:rsidRPr="00F41E5B">
        <w:rPr>
          <w:rFonts w:ascii="PT Serif" w:eastAsia="Arial" w:hAnsi="PT Serif" w:cs="Arial"/>
          <w:sz w:val="20"/>
          <w:bdr w:val="none" w:sz="0" w:space="0" w:color="auto"/>
        </w:rPr>
        <w:t xml:space="preserve"> 6 parag</w:t>
      </w:r>
      <w:r>
        <w:rPr>
          <w:rFonts w:ascii="PT Serif" w:eastAsia="Arial" w:hAnsi="PT Serif" w:cs="Arial"/>
          <w:sz w:val="20"/>
          <w:bdr w:val="none" w:sz="0" w:space="0" w:color="auto"/>
        </w:rPr>
        <w:t>raph</w:t>
      </w:r>
      <w:r w:rsidRPr="00F41E5B">
        <w:rPr>
          <w:rFonts w:ascii="PT Serif" w:eastAsia="Arial" w:hAnsi="PT Serif" w:cs="Arial"/>
          <w:sz w:val="20"/>
          <w:bdr w:val="none" w:sz="0" w:space="0" w:color="auto"/>
        </w:rPr>
        <w:t xml:space="preserve"> 1 letter </w:t>
      </w:r>
      <w:r>
        <w:rPr>
          <w:rFonts w:ascii="PT Serif" w:eastAsia="Arial" w:hAnsi="PT Serif" w:cs="Arial"/>
          <w:sz w:val="20"/>
          <w:bdr w:val="none" w:sz="0" w:space="0" w:color="auto"/>
        </w:rPr>
        <w:t xml:space="preserve">b. and </w:t>
      </w:r>
      <w:r w:rsidRPr="00F41E5B">
        <w:rPr>
          <w:rFonts w:ascii="PT Serif" w:eastAsia="Arial" w:hAnsi="PT Serif" w:cs="Arial"/>
          <w:sz w:val="20"/>
          <w:bdr w:val="none" w:sz="0" w:space="0" w:color="auto"/>
        </w:rPr>
        <w:t>f. GDPR (general data protection regulation), i.e. the</w:t>
      </w:r>
      <w:r>
        <w:rPr>
          <w:rFonts w:ascii="PT Serif" w:eastAsia="Arial" w:hAnsi="PT Serif" w:cs="Arial"/>
          <w:sz w:val="20"/>
          <w:bdr w:val="none" w:sz="0" w:space="0" w:color="auto"/>
        </w:rPr>
        <w:t xml:space="preserve"> implementation of legal agreement as well as</w:t>
      </w:r>
      <w:r w:rsidRPr="00F41E5B">
        <w:rPr>
          <w:rFonts w:ascii="PT Serif" w:eastAsia="Arial" w:hAnsi="PT Serif" w:cs="Arial"/>
          <w:sz w:val="20"/>
          <w:bdr w:val="none" w:sz="0" w:space="0" w:color="auto"/>
        </w:rPr>
        <w:t xml:space="preserve"> legitimate interest of the controller</w:t>
      </w:r>
      <w:r>
        <w:rPr>
          <w:rFonts w:ascii="PT Serif" w:eastAsia="Arial" w:hAnsi="PT Serif" w:cs="Arial"/>
          <w:sz w:val="20"/>
          <w:bdr w:val="none" w:sz="0" w:space="0" w:color="auto"/>
        </w:rPr>
        <w:t xml:space="preserve">, </w:t>
      </w:r>
      <w:r w:rsidRPr="00693606">
        <w:rPr>
          <w:rFonts w:ascii="PT Serif" w:eastAsia="Arial" w:hAnsi="PT Serif" w:cs="Arial"/>
          <w:sz w:val="20"/>
          <w:bdr w:val="none" w:sz="0" w:space="0" w:color="auto"/>
        </w:rPr>
        <w:t xml:space="preserve">and also </w:t>
      </w:r>
      <w:r>
        <w:rPr>
          <w:rFonts w:ascii="PT Serif" w:eastAsia="Arial" w:hAnsi="PT Serif" w:cs="Arial"/>
          <w:sz w:val="20"/>
          <w:bdr w:val="none" w:sz="0" w:space="0" w:color="auto"/>
        </w:rPr>
        <w:t>article</w:t>
      </w:r>
      <w:r w:rsidRPr="00693606">
        <w:rPr>
          <w:rFonts w:ascii="PT Serif" w:eastAsia="Arial" w:hAnsi="PT Serif" w:cs="Arial"/>
          <w:sz w:val="20"/>
          <w:bdr w:val="none" w:sz="0" w:space="0" w:color="auto"/>
        </w:rPr>
        <w:t xml:space="preserve"> 9 </w:t>
      </w:r>
      <w:r>
        <w:rPr>
          <w:rFonts w:ascii="PT Serif" w:eastAsia="Arial" w:hAnsi="PT Serif" w:cs="Arial"/>
          <w:sz w:val="20"/>
          <w:bdr w:val="none" w:sz="0" w:space="0" w:color="auto"/>
        </w:rPr>
        <w:t>paragraph</w:t>
      </w:r>
      <w:r w:rsidRPr="00693606">
        <w:rPr>
          <w:rFonts w:ascii="PT Serif" w:eastAsia="Arial" w:hAnsi="PT Serif" w:cs="Arial"/>
          <w:sz w:val="20"/>
          <w:bdr w:val="none" w:sz="0" w:space="0" w:color="auto"/>
        </w:rPr>
        <w:t xml:space="preserve"> 2 l</w:t>
      </w:r>
      <w:r>
        <w:rPr>
          <w:rFonts w:ascii="PT Serif" w:eastAsia="Arial" w:hAnsi="PT Serif" w:cs="Arial"/>
          <w:sz w:val="20"/>
          <w:bdr w:val="none" w:sz="0" w:space="0" w:color="auto"/>
        </w:rPr>
        <w:t>etter</w:t>
      </w:r>
      <w:r w:rsidRPr="00693606">
        <w:rPr>
          <w:rFonts w:ascii="PT Serif" w:eastAsia="Arial" w:hAnsi="PT Serif" w:cs="Arial"/>
          <w:sz w:val="20"/>
          <w:bdr w:val="none" w:sz="0" w:space="0" w:color="auto"/>
        </w:rPr>
        <w:t xml:space="preserve"> </w:t>
      </w:r>
      <w:r>
        <w:rPr>
          <w:rFonts w:ascii="PT Serif" w:eastAsia="Arial" w:hAnsi="PT Serif" w:cs="Arial"/>
          <w:sz w:val="20"/>
          <w:bdr w:val="none" w:sz="0" w:space="0" w:color="auto"/>
        </w:rPr>
        <w:t>d</w:t>
      </w:r>
      <w:r w:rsidRPr="00693606">
        <w:rPr>
          <w:rFonts w:ascii="PT Serif" w:eastAsia="Arial" w:hAnsi="PT Serif" w:cs="Arial"/>
          <w:sz w:val="20"/>
          <w:bdr w:val="none" w:sz="0" w:space="0" w:color="auto"/>
        </w:rPr>
        <w:t xml:space="preserve"> GDPR, i.e. processing is carried out as part of the legitimate activity conducted with appropriate safeguards by a foundation, association or other non-profit entity with political, ideological, religious or trade union goals, provided that the processing concerns only members or former members of this entity or persons maintaining with it on a regular basis in connection with its purposes and that personal data is not disclosed outside this entity without the consent of the data subjects.</w:t>
      </w:r>
    </w:p>
    <w:p w14:paraId="41E9AC55" w14:textId="77777777" w:rsidR="003A4403" w:rsidRPr="00F41E5B" w:rsidRDefault="003A4403" w:rsidP="003A4403">
      <w:pPr>
        <w:pStyle w:val="P68B1DB1-Akapitzlist17"/>
        <w:spacing w:after="120" w:line="264" w:lineRule="auto"/>
        <w:ind w:left="0"/>
        <w:jc w:val="both"/>
        <w:rPr>
          <w:rFonts w:eastAsia="Arial" w:cs="Arial"/>
          <w:bdr w:val="none" w:sz="0" w:space="0" w:color="auto"/>
        </w:rPr>
      </w:pPr>
      <w:r w:rsidRPr="00F41E5B">
        <w:rPr>
          <w:rFonts w:eastAsia="Arial" w:cs="Arial"/>
          <w:bdr w:val="none" w:sz="0" w:space="0" w:color="auto"/>
        </w:rPr>
        <w:t>Providing the above-mentioned data is voluntary, but necessary to participate in the grant event or contest.</w:t>
      </w:r>
    </w:p>
    <w:p w14:paraId="3C851D0F" w14:textId="77777777" w:rsidR="003A4403" w:rsidRPr="00F41E5B" w:rsidRDefault="003A4403" w:rsidP="003A4403">
      <w:pPr>
        <w:pStyle w:val="P68B1DB1-Akapitzlist17"/>
        <w:spacing w:after="120" w:line="264" w:lineRule="auto"/>
        <w:ind w:left="0"/>
        <w:jc w:val="both"/>
        <w:rPr>
          <w:rFonts w:eastAsia="Arial" w:cs="Arial"/>
          <w:bdr w:val="none" w:sz="0" w:space="0" w:color="auto"/>
        </w:rPr>
      </w:pPr>
      <w:r w:rsidRPr="00F41E5B">
        <w:rPr>
          <w:rFonts w:eastAsia="Arial" w:cs="Arial"/>
          <w:bdr w:val="none" w:sz="0" w:space="0" w:color="auto"/>
        </w:rPr>
        <w:t>Personal data contained in the application will be processed for 5 years from the end of the year in which the event or grant competition took place.</w:t>
      </w:r>
    </w:p>
    <w:p w14:paraId="59B89CAB" w14:textId="77777777" w:rsidR="003A4403" w:rsidRPr="00F41E5B" w:rsidRDefault="003A4403" w:rsidP="003A4403">
      <w:pPr>
        <w:pStyle w:val="NormalnyWeb"/>
        <w:spacing w:before="0" w:after="120"/>
        <w:rPr>
          <w:rFonts w:ascii="PT Serif" w:eastAsia="Arial" w:hAnsi="PT Serif" w:cs="Arial"/>
          <w:sz w:val="20"/>
        </w:rPr>
      </w:pPr>
      <w:r w:rsidRPr="00F41E5B">
        <w:rPr>
          <w:rFonts w:ascii="PT Serif" w:eastAsia="Arial" w:hAnsi="PT Serif" w:cs="Arial"/>
          <w:sz w:val="20"/>
        </w:rPr>
        <w:t>You have the right to:</w:t>
      </w:r>
    </w:p>
    <w:p w14:paraId="1A5F2C42" w14:textId="77777777" w:rsidR="003A4403" w:rsidRPr="00F41E5B" w:rsidRDefault="003A4403" w:rsidP="003A4403">
      <w:pPr>
        <w:pStyle w:val="P68B1DB1-NormalWeb8"/>
        <w:numPr>
          <w:ilvl w:val="0"/>
          <w:numId w:val="11"/>
        </w:numPr>
        <w:spacing w:before="0" w:after="120"/>
        <w:rPr>
          <w:rFonts w:eastAsia="Arial" w:cs="Arial"/>
          <w:bdr w:val="none" w:sz="0" w:space="0" w:color="auto"/>
        </w:rPr>
      </w:pPr>
      <w:r w:rsidRPr="00F41E5B">
        <w:rPr>
          <w:rFonts w:eastAsia="Arial" w:cs="Arial"/>
          <w:bdr w:val="none" w:sz="0" w:space="0" w:color="auto"/>
        </w:rPr>
        <w:t>requests from the Personal Data Administrator to access your personal data, receive a copy of your data, rectify it, delete, or limit the processing of personal data,</w:t>
      </w:r>
    </w:p>
    <w:p w14:paraId="5031952D" w14:textId="77777777" w:rsidR="003A4403" w:rsidRPr="00F41E5B" w:rsidRDefault="003A4403" w:rsidP="003A4403">
      <w:pPr>
        <w:pStyle w:val="P68B1DB1-NormalWeb8"/>
        <w:numPr>
          <w:ilvl w:val="0"/>
          <w:numId w:val="11"/>
        </w:numPr>
        <w:spacing w:before="0" w:after="120"/>
        <w:rPr>
          <w:rFonts w:eastAsia="Arial" w:cs="Arial"/>
          <w:bdr w:val="none" w:sz="0" w:space="0" w:color="auto"/>
        </w:rPr>
      </w:pPr>
      <w:r w:rsidRPr="00F41E5B">
        <w:rPr>
          <w:rFonts w:eastAsia="Arial" w:cs="Arial"/>
          <w:bdr w:val="none" w:sz="0" w:space="0" w:color="auto"/>
        </w:rPr>
        <w:t>object to further processing, if you do not want us to process your data for archiving and contact purposes on the basis of a legitimate interest,</w:t>
      </w:r>
    </w:p>
    <w:p w14:paraId="1934B7D7" w14:textId="77777777" w:rsidR="003A4403" w:rsidRPr="00F41E5B" w:rsidRDefault="003A4403" w:rsidP="003A4403">
      <w:pPr>
        <w:pStyle w:val="P68B1DB1-NormalWeb8"/>
        <w:numPr>
          <w:ilvl w:val="0"/>
          <w:numId w:val="11"/>
        </w:numPr>
        <w:spacing w:before="0" w:after="120"/>
        <w:rPr>
          <w:rFonts w:eastAsia="Arial" w:cs="Arial"/>
          <w:bdr w:val="none" w:sz="0" w:space="0" w:color="auto"/>
        </w:rPr>
      </w:pPr>
      <w:r w:rsidRPr="00F41E5B">
        <w:rPr>
          <w:rFonts w:eastAsia="Arial" w:cs="Arial"/>
          <w:bdr w:val="none" w:sz="0" w:space="0" w:color="auto"/>
        </w:rPr>
        <w:t xml:space="preserve">if it is found that the data is processed in violation of the law </w:t>
      </w:r>
      <w:r w:rsidRPr="00F41E5B">
        <w:t>–</w:t>
      </w:r>
      <w:r w:rsidRPr="00F41E5B">
        <w:rPr>
          <w:rFonts w:eastAsia="Arial" w:cs="Arial"/>
          <w:bdr w:val="none" w:sz="0" w:space="0" w:color="auto"/>
        </w:rPr>
        <w:t xml:space="preserve"> bring a complaint to the supervisory body </w:t>
      </w:r>
      <w:r w:rsidRPr="00F41E5B">
        <w:t>–</w:t>
      </w:r>
      <w:r w:rsidRPr="00F41E5B">
        <w:rPr>
          <w:rFonts w:eastAsia="Arial" w:cs="Arial"/>
          <w:bdr w:val="none" w:sz="0" w:space="0" w:color="auto"/>
        </w:rPr>
        <w:t xml:space="preserve"> the President of the Office for Personal Data Protection.</w:t>
      </w:r>
    </w:p>
    <w:p w14:paraId="167D7A71" w14:textId="77777777" w:rsidR="003A4403" w:rsidRPr="00F41E5B" w:rsidRDefault="003A4403" w:rsidP="003A4403">
      <w:pPr>
        <w:pStyle w:val="NormalnyWeb"/>
        <w:spacing w:before="0" w:after="120"/>
        <w:rPr>
          <w:rFonts w:ascii="PT Serif" w:eastAsia="Arial" w:hAnsi="PT Serif" w:cs="Arial"/>
          <w:sz w:val="20"/>
        </w:rPr>
      </w:pPr>
      <w:r w:rsidRPr="00F41E5B">
        <w:rPr>
          <w:rFonts w:ascii="PT Serif" w:eastAsia="Arial" w:hAnsi="PT Serif" w:cs="Arial"/>
          <w:sz w:val="20"/>
        </w:rPr>
        <w:t>Personal data are not subject to automated decision-making, including profiling.</w:t>
      </w:r>
    </w:p>
    <w:p w14:paraId="66CEF187" w14:textId="77777777" w:rsidR="003A4403" w:rsidRPr="00F41E5B" w:rsidRDefault="003A4403" w:rsidP="003A4403">
      <w:pPr>
        <w:pStyle w:val="NormalnyWeb"/>
        <w:spacing w:before="0" w:after="120"/>
        <w:rPr>
          <w:rFonts w:ascii="PT Serif" w:eastAsia="Arial" w:hAnsi="PT Serif" w:cs="Arial"/>
          <w:sz w:val="20"/>
        </w:rPr>
      </w:pPr>
      <w:r w:rsidRPr="00F41E5B">
        <w:rPr>
          <w:rFonts w:ascii="PT Serif" w:eastAsia="Arial" w:hAnsi="PT Serif" w:cs="Arial"/>
          <w:sz w:val="20"/>
        </w:rPr>
        <w:t>Your data will not be transferred outside the European Economic Area. The data will also not be transferred to international organizations.</w:t>
      </w:r>
    </w:p>
    <w:p w14:paraId="4F98B0A8" w14:textId="3377EE11" w:rsidR="00095010" w:rsidRPr="003A4403" w:rsidRDefault="003A4403" w:rsidP="003A4403">
      <w:pPr>
        <w:pStyle w:val="Akapitzlist"/>
        <w:spacing w:after="120" w:line="240" w:lineRule="auto"/>
        <w:ind w:left="0"/>
        <w:jc w:val="both"/>
        <w:rPr>
          <w:sz w:val="20"/>
        </w:rPr>
      </w:pPr>
      <w:r w:rsidRPr="00F41E5B">
        <w:rPr>
          <w:rFonts w:ascii="PT Serif" w:hAnsi="PT Serif"/>
          <w:sz w:val="20"/>
        </w:rPr>
        <w:t>Please read the Privacy Policy, which is available a</w:t>
      </w:r>
      <w:r w:rsidRPr="003A4403">
        <w:rPr>
          <w:rFonts w:ascii="PT Serif" w:hAnsi="PT Serif"/>
          <w:sz w:val="20"/>
        </w:rPr>
        <w:t>t </w:t>
      </w:r>
      <w:hyperlink r:id="rId13" w:history="1">
        <w:r w:rsidR="008B6611" w:rsidRPr="003A4403">
          <w:rPr>
            <w:rStyle w:val="Hipercze"/>
            <w:rFonts w:ascii="PT Serif" w:hAnsi="PT Serif"/>
            <w:sz w:val="20"/>
          </w:rPr>
          <w:t>femfund.pl/</w:t>
        </w:r>
        <w:proofErr w:type="spellStart"/>
        <w:r w:rsidR="008B6611" w:rsidRPr="003A4403">
          <w:rPr>
            <w:rStyle w:val="Hipercze"/>
            <w:rFonts w:ascii="PT Serif" w:hAnsi="PT Serif"/>
            <w:sz w:val="20"/>
          </w:rPr>
          <w:t>polityka-prywatnosci</w:t>
        </w:r>
        <w:proofErr w:type="spellEnd"/>
        <w:r w:rsidR="008B6611" w:rsidRPr="003A4403">
          <w:rPr>
            <w:rStyle w:val="Hipercze"/>
            <w:rFonts w:ascii="PT Serif" w:hAnsi="PT Serif"/>
            <w:sz w:val="20"/>
          </w:rPr>
          <w:t>/</w:t>
        </w:r>
      </w:hyperlink>
    </w:p>
    <w:sectPr w:rsidR="00095010" w:rsidRPr="003A4403">
      <w:headerReference w:type="default" r:id="rId14"/>
      <w:pgSz w:w="11906" w:h="16838"/>
      <w:pgMar w:top="567"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A7AB" w14:textId="77777777" w:rsidR="009B77CE" w:rsidRDefault="009B77CE">
      <w:pPr>
        <w:spacing w:after="0" w:line="240" w:lineRule="auto"/>
      </w:pPr>
      <w:r>
        <w:separator/>
      </w:r>
    </w:p>
  </w:endnote>
  <w:endnote w:type="continuationSeparator" w:id="0">
    <w:p w14:paraId="625E0B93" w14:textId="77777777" w:rsidR="009B77CE" w:rsidRDefault="009B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PT Serif">
    <w:panose1 w:val="020A0603040505020204"/>
    <w:charset w:val="EE"/>
    <w:family w:val="roman"/>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523E" w14:textId="77777777" w:rsidR="009B77CE" w:rsidRDefault="009B77CE">
      <w:pPr>
        <w:spacing w:after="0" w:line="240" w:lineRule="auto"/>
      </w:pPr>
      <w:r>
        <w:separator/>
      </w:r>
    </w:p>
  </w:footnote>
  <w:footnote w:type="continuationSeparator" w:id="0">
    <w:p w14:paraId="13CE6E98" w14:textId="77777777" w:rsidR="009B77CE" w:rsidRDefault="009B7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07B5" w14:textId="126740D8" w:rsidR="00095010" w:rsidRDefault="00EF41E5">
    <w:pPr>
      <w:pStyle w:val="Nagwek"/>
    </w:pPr>
    <w:r>
      <w:rPr>
        <w:noProof/>
      </w:rPr>
      <w:drawing>
        <wp:inline distT="0" distB="0" distL="0" distR="0" wp14:anchorId="56666EA1" wp14:editId="19CE1779">
          <wp:extent cx="1270000" cy="12700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1C58"/>
    <w:multiLevelType w:val="multilevel"/>
    <w:tmpl w:val="2A88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C409A"/>
    <w:multiLevelType w:val="hybridMultilevel"/>
    <w:tmpl w:val="3FFAC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194617"/>
    <w:multiLevelType w:val="hybridMultilevel"/>
    <w:tmpl w:val="297AA828"/>
    <w:numStyleLink w:val="ImportedStyle1"/>
  </w:abstractNum>
  <w:abstractNum w:abstractNumId="3" w15:restartNumberingAfterBreak="0">
    <w:nsid w:val="3ABB5199"/>
    <w:multiLevelType w:val="hybridMultilevel"/>
    <w:tmpl w:val="8A58CAF2"/>
    <w:lvl w:ilvl="0" w:tplc="12CEBF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3BE44B99"/>
    <w:multiLevelType w:val="hybridMultilevel"/>
    <w:tmpl w:val="46301336"/>
    <w:lvl w:ilvl="0" w:tplc="FA1465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E85D46"/>
    <w:multiLevelType w:val="hybridMultilevel"/>
    <w:tmpl w:val="309E908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4F344954"/>
    <w:multiLevelType w:val="hybridMultilevel"/>
    <w:tmpl w:val="CCEE4D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5BEA62BF"/>
    <w:multiLevelType w:val="hybridMultilevel"/>
    <w:tmpl w:val="070A4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72D0109"/>
    <w:multiLevelType w:val="hybridMultilevel"/>
    <w:tmpl w:val="F2A2CEEA"/>
    <w:lvl w:ilvl="0" w:tplc="EA8EE6F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B1D613C"/>
    <w:multiLevelType w:val="hybridMultilevel"/>
    <w:tmpl w:val="297AA828"/>
    <w:styleLink w:val="ImportedStyle1"/>
    <w:lvl w:ilvl="0" w:tplc="8C9223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AB4D6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6EC02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658D1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DE0CD3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CC83D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8C0E73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738C09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320F4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7B9A0712"/>
    <w:multiLevelType w:val="hybridMultilevel"/>
    <w:tmpl w:val="CC30D3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453406796">
    <w:abstractNumId w:val="0"/>
  </w:num>
  <w:num w:numId="2" w16cid:durableId="794255104">
    <w:abstractNumId w:val="5"/>
  </w:num>
  <w:num w:numId="3" w16cid:durableId="1948730048">
    <w:abstractNumId w:val="8"/>
  </w:num>
  <w:num w:numId="4" w16cid:durableId="397561506">
    <w:abstractNumId w:val="10"/>
  </w:num>
  <w:num w:numId="5" w16cid:durableId="183716679">
    <w:abstractNumId w:val="3"/>
  </w:num>
  <w:num w:numId="6" w16cid:durableId="1432235622">
    <w:abstractNumId w:val="7"/>
  </w:num>
  <w:num w:numId="7" w16cid:durableId="102263999">
    <w:abstractNumId w:val="4"/>
  </w:num>
  <w:num w:numId="8" w16cid:durableId="986015992">
    <w:abstractNumId w:val="6"/>
  </w:num>
  <w:num w:numId="9" w16cid:durableId="580332460">
    <w:abstractNumId w:val="1"/>
  </w:num>
  <w:num w:numId="10" w16cid:durableId="1028488145">
    <w:abstractNumId w:val="9"/>
  </w:num>
  <w:num w:numId="11" w16cid:durableId="1593704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0E"/>
    <w:rsid w:val="00002FC2"/>
    <w:rsid w:val="00053E9B"/>
    <w:rsid w:val="0006605C"/>
    <w:rsid w:val="00091E00"/>
    <w:rsid w:val="00095010"/>
    <w:rsid w:val="000B32D2"/>
    <w:rsid w:val="001606A0"/>
    <w:rsid w:val="001647BB"/>
    <w:rsid w:val="00172E22"/>
    <w:rsid w:val="0018482E"/>
    <w:rsid w:val="00192625"/>
    <w:rsid w:val="00215846"/>
    <w:rsid w:val="00220914"/>
    <w:rsid w:val="0022779B"/>
    <w:rsid w:val="002C6FC1"/>
    <w:rsid w:val="002D1926"/>
    <w:rsid w:val="002D7C57"/>
    <w:rsid w:val="002F61DC"/>
    <w:rsid w:val="00332F06"/>
    <w:rsid w:val="003A4403"/>
    <w:rsid w:val="003A4B55"/>
    <w:rsid w:val="003A750B"/>
    <w:rsid w:val="003A77A8"/>
    <w:rsid w:val="003D1199"/>
    <w:rsid w:val="003E7B66"/>
    <w:rsid w:val="004115C6"/>
    <w:rsid w:val="004A63F8"/>
    <w:rsid w:val="004E6B72"/>
    <w:rsid w:val="005406FD"/>
    <w:rsid w:val="005C6129"/>
    <w:rsid w:val="005D5FF8"/>
    <w:rsid w:val="005F3502"/>
    <w:rsid w:val="006450E1"/>
    <w:rsid w:val="0067078B"/>
    <w:rsid w:val="00671ED3"/>
    <w:rsid w:val="00676376"/>
    <w:rsid w:val="006775D0"/>
    <w:rsid w:val="006A2A1F"/>
    <w:rsid w:val="006B01EC"/>
    <w:rsid w:val="006D510E"/>
    <w:rsid w:val="007147E0"/>
    <w:rsid w:val="00746D59"/>
    <w:rsid w:val="007624AE"/>
    <w:rsid w:val="00766F16"/>
    <w:rsid w:val="0078010D"/>
    <w:rsid w:val="00797EE9"/>
    <w:rsid w:val="007A1D2B"/>
    <w:rsid w:val="007A74D0"/>
    <w:rsid w:val="007C6912"/>
    <w:rsid w:val="00824CF0"/>
    <w:rsid w:val="008271A1"/>
    <w:rsid w:val="008758D1"/>
    <w:rsid w:val="00882654"/>
    <w:rsid w:val="00890D30"/>
    <w:rsid w:val="00893817"/>
    <w:rsid w:val="00896230"/>
    <w:rsid w:val="008A657E"/>
    <w:rsid w:val="008B31B4"/>
    <w:rsid w:val="008B6611"/>
    <w:rsid w:val="008D08FF"/>
    <w:rsid w:val="00922CC7"/>
    <w:rsid w:val="00944540"/>
    <w:rsid w:val="00952DC7"/>
    <w:rsid w:val="00996543"/>
    <w:rsid w:val="009B77CE"/>
    <w:rsid w:val="00A4464D"/>
    <w:rsid w:val="00A7649A"/>
    <w:rsid w:val="00A93EF6"/>
    <w:rsid w:val="00AD202D"/>
    <w:rsid w:val="00AE2FE9"/>
    <w:rsid w:val="00B64637"/>
    <w:rsid w:val="00BD07EC"/>
    <w:rsid w:val="00BF3BB7"/>
    <w:rsid w:val="00C06FED"/>
    <w:rsid w:val="00C55BD7"/>
    <w:rsid w:val="00C57D66"/>
    <w:rsid w:val="00C60021"/>
    <w:rsid w:val="00C7647C"/>
    <w:rsid w:val="00CB2C13"/>
    <w:rsid w:val="00CB3DAC"/>
    <w:rsid w:val="00CF1F37"/>
    <w:rsid w:val="00D031B6"/>
    <w:rsid w:val="00D12064"/>
    <w:rsid w:val="00D32568"/>
    <w:rsid w:val="00D56028"/>
    <w:rsid w:val="00D76F7B"/>
    <w:rsid w:val="00DA5255"/>
    <w:rsid w:val="00DC6C45"/>
    <w:rsid w:val="00E349A1"/>
    <w:rsid w:val="00E35AAD"/>
    <w:rsid w:val="00E67124"/>
    <w:rsid w:val="00E84D20"/>
    <w:rsid w:val="00EA3BE0"/>
    <w:rsid w:val="00EE0CCD"/>
    <w:rsid w:val="00EF41E5"/>
    <w:rsid w:val="00F42E64"/>
    <w:rsid w:val="00F46A15"/>
    <w:rsid w:val="00F6742B"/>
    <w:rsid w:val="00FA732C"/>
    <w:rsid w:val="00FD420D"/>
    <w:rsid w:val="00FF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26E2"/>
  <w15:chartTrackingRefBased/>
  <w15:docId w15:val="{D8022857-9BD2-43DF-94D2-49EBFDB0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30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03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030E"/>
    <w:rPr>
      <w:rFonts w:ascii="Calibri" w:eastAsia="Calibri" w:hAnsi="Calibri" w:cs="Times New Roman"/>
    </w:rPr>
  </w:style>
  <w:style w:type="character" w:styleId="Hipercze">
    <w:name w:val="Hyperlink"/>
    <w:uiPriority w:val="99"/>
    <w:unhideWhenUsed/>
    <w:rsid w:val="00FF030E"/>
    <w:rPr>
      <w:color w:val="0000FF"/>
      <w:u w:val="single"/>
    </w:rPr>
  </w:style>
  <w:style w:type="paragraph" w:styleId="NormalnyWeb">
    <w:name w:val="Normal (Web)"/>
    <w:basedOn w:val="Normalny"/>
    <w:unhideWhenUsed/>
    <w:rsid w:val="00FF030E"/>
    <w:pPr>
      <w:spacing w:before="100" w:beforeAutospacing="1" w:after="100" w:afterAutospacing="1" w:line="240" w:lineRule="auto"/>
    </w:pPr>
    <w:rPr>
      <w:rFonts w:ascii="Times New Roman" w:eastAsia="Times New Roman" w:hAnsi="Times New Roman"/>
      <w:sz w:val="24"/>
    </w:rPr>
  </w:style>
  <w:style w:type="paragraph" w:styleId="Akapitzlist">
    <w:name w:val="List Paragraph"/>
    <w:basedOn w:val="Normalny"/>
    <w:qFormat/>
    <w:rsid w:val="00FF030E"/>
    <w:pPr>
      <w:ind w:left="720"/>
      <w:contextualSpacing/>
    </w:pPr>
  </w:style>
  <w:style w:type="character" w:styleId="Odwoaniedokomentarza">
    <w:name w:val="annotation reference"/>
    <w:basedOn w:val="Domylnaczcionkaakapitu"/>
    <w:uiPriority w:val="99"/>
    <w:semiHidden/>
    <w:unhideWhenUsed/>
    <w:rsid w:val="00882654"/>
    <w:rPr>
      <w:sz w:val="16"/>
    </w:rPr>
  </w:style>
  <w:style w:type="paragraph" w:styleId="Tekstkomentarza">
    <w:name w:val="annotation text"/>
    <w:basedOn w:val="Normalny"/>
    <w:link w:val="TekstkomentarzaZnak"/>
    <w:uiPriority w:val="99"/>
    <w:unhideWhenUsed/>
    <w:rsid w:val="00882654"/>
    <w:pPr>
      <w:spacing w:line="240" w:lineRule="auto"/>
    </w:pPr>
    <w:rPr>
      <w:sz w:val="20"/>
    </w:rPr>
  </w:style>
  <w:style w:type="character" w:customStyle="1" w:styleId="TekstkomentarzaZnak">
    <w:name w:val="Tekst komentarza Znak"/>
    <w:basedOn w:val="Domylnaczcionkaakapitu"/>
    <w:link w:val="Tekstkomentarza"/>
    <w:uiPriority w:val="99"/>
    <w:rsid w:val="00882654"/>
    <w:rPr>
      <w:rFonts w:ascii="Calibri" w:eastAsia="Calibri" w:hAnsi="Calibri" w:cs="Times New Roman"/>
      <w:sz w:val="20"/>
    </w:rPr>
  </w:style>
  <w:style w:type="paragraph" w:styleId="Tematkomentarza">
    <w:name w:val="annotation subject"/>
    <w:basedOn w:val="Tekstkomentarza"/>
    <w:next w:val="Tekstkomentarza"/>
    <w:link w:val="TematkomentarzaZnak"/>
    <w:uiPriority w:val="99"/>
    <w:semiHidden/>
    <w:unhideWhenUsed/>
    <w:rsid w:val="00882654"/>
    <w:rPr>
      <w:b/>
    </w:rPr>
  </w:style>
  <w:style w:type="character" w:customStyle="1" w:styleId="TematkomentarzaZnak">
    <w:name w:val="Temat komentarza Znak"/>
    <w:basedOn w:val="TekstkomentarzaZnak"/>
    <w:link w:val="Tematkomentarza"/>
    <w:uiPriority w:val="99"/>
    <w:semiHidden/>
    <w:rsid w:val="00882654"/>
    <w:rPr>
      <w:rFonts w:ascii="Calibri" w:eastAsia="Calibri" w:hAnsi="Calibri" w:cs="Times New Roman"/>
      <w:b/>
      <w:sz w:val="20"/>
    </w:rPr>
  </w:style>
  <w:style w:type="paragraph" w:styleId="Poprawka">
    <w:name w:val="Revision"/>
    <w:hidden/>
    <w:uiPriority w:val="99"/>
    <w:semiHidden/>
    <w:rsid w:val="006775D0"/>
    <w:pPr>
      <w:spacing w:after="0" w:line="240" w:lineRule="auto"/>
    </w:pPr>
    <w:rPr>
      <w:rFonts w:ascii="Calibri" w:eastAsia="Calibri" w:hAnsi="Calibri" w:cs="Times New Roman"/>
    </w:rPr>
  </w:style>
  <w:style w:type="paragraph" w:customStyle="1" w:styleId="P68B1DB1-Normalny1">
    <w:name w:val="P68B1DB1-Normalny1"/>
    <w:basedOn w:val="Normalny"/>
    <w:rPr>
      <w:rFonts w:ascii="PT Serif" w:hAnsi="PT Serif"/>
      <w:b/>
      <w:sz w:val="28"/>
    </w:rPr>
  </w:style>
  <w:style w:type="paragraph" w:customStyle="1" w:styleId="P68B1DB1-Normalny2">
    <w:name w:val="P68B1DB1-Normalny2"/>
    <w:basedOn w:val="Normalny"/>
    <w:rPr>
      <w:rFonts w:ascii="PT Serif" w:hAnsi="PT Serif"/>
    </w:rPr>
  </w:style>
  <w:style w:type="paragraph" w:customStyle="1" w:styleId="P68B1DB1-Akapitzlist3">
    <w:name w:val="P68B1DB1-Akapitzlist3"/>
    <w:basedOn w:val="Akapitzlist"/>
    <w:rPr>
      <w:rFonts w:ascii="PT Serif" w:hAnsi="PT Serif"/>
    </w:rPr>
  </w:style>
  <w:style w:type="paragraph" w:customStyle="1" w:styleId="P68B1DB1-Normalny4">
    <w:name w:val="P68B1DB1-Normalny4"/>
    <w:basedOn w:val="Normalny"/>
    <w:rPr>
      <w:rFonts w:ascii="PT Serif" w:hAnsi="PT Serif"/>
      <w:sz w:val="24"/>
    </w:rPr>
  </w:style>
  <w:style w:type="paragraph" w:customStyle="1" w:styleId="P68B1DB1-Normalny5">
    <w:name w:val="P68B1DB1-Normalny5"/>
    <w:basedOn w:val="Normalny"/>
    <w:rPr>
      <w:rFonts w:ascii="PT Serif" w:hAnsi="PT Serif"/>
      <w:b/>
      <w:u w:val="single"/>
    </w:rPr>
  </w:style>
  <w:style w:type="paragraph" w:customStyle="1" w:styleId="P68B1DB1-NormalnyWeb6">
    <w:name w:val="P68B1DB1-NormalnyWeb6"/>
    <w:basedOn w:val="NormalnyWeb"/>
    <w:rPr>
      <w:rFonts w:ascii="PT Serif" w:hAnsi="PT Serif"/>
      <w:sz w:val="22"/>
    </w:rPr>
  </w:style>
  <w:style w:type="paragraph" w:customStyle="1" w:styleId="P68B1DB1-Akapitzlist2">
    <w:name w:val="P68B1DB1-Akapitzlist2"/>
    <w:basedOn w:val="Akapitzlist"/>
    <w:rsid w:val="008B6611"/>
    <w:rPr>
      <w:rFonts w:ascii="PT Serif" w:eastAsia="PT Serif" w:hAnsi="PT Serif" w:cs="PT Serif"/>
    </w:rPr>
  </w:style>
  <w:style w:type="paragraph" w:customStyle="1" w:styleId="P68B1DB1-Normalny3">
    <w:name w:val="P68B1DB1-Normalny3"/>
    <w:basedOn w:val="Normalny"/>
    <w:rsid w:val="008B6611"/>
    <w:rPr>
      <w:rFonts w:ascii="PT Serif" w:eastAsia="PT Serif" w:hAnsi="PT Serif" w:cs="PT Serif"/>
    </w:rPr>
  </w:style>
  <w:style w:type="character" w:styleId="Nierozpoznanawzmianka">
    <w:name w:val="Unresolved Mention"/>
    <w:basedOn w:val="Domylnaczcionkaakapitu"/>
    <w:uiPriority w:val="99"/>
    <w:semiHidden/>
    <w:unhideWhenUsed/>
    <w:rsid w:val="002D1926"/>
    <w:rPr>
      <w:color w:val="605E5C"/>
      <w:shd w:val="clear" w:color="auto" w:fill="E1DFDD"/>
    </w:rPr>
  </w:style>
  <w:style w:type="paragraph" w:customStyle="1" w:styleId="Akapitzlist1">
    <w:name w:val="Akapit z listą1"/>
    <w:rsid w:val="003A4403"/>
    <w:pPr>
      <w:pBdr>
        <w:top w:val="nil"/>
        <w:left w:val="nil"/>
        <w:bottom w:val="nil"/>
        <w:right w:val="nil"/>
        <w:between w:val="nil"/>
        <w:bar w:val="nil"/>
      </w:pBdr>
      <w:suppressAutoHyphens/>
      <w:spacing w:after="200" w:line="276" w:lineRule="auto"/>
      <w:ind w:left="720"/>
    </w:pPr>
    <w:rPr>
      <w:rFonts w:ascii="Calibri" w:eastAsia="Arial Unicode MS" w:hAnsi="Calibri" w:cs="Arial Unicode MS"/>
      <w:color w:val="000000"/>
      <w:u w:color="000000"/>
      <w:bdr w:val="nil"/>
    </w:rPr>
  </w:style>
  <w:style w:type="numbering" w:customStyle="1" w:styleId="ImportedStyle1">
    <w:name w:val="Imported Style 1"/>
    <w:rsid w:val="003A4403"/>
    <w:pPr>
      <w:numPr>
        <w:numId w:val="10"/>
      </w:numPr>
    </w:pPr>
  </w:style>
  <w:style w:type="paragraph" w:customStyle="1" w:styleId="P68B1DB1-Akapitzlist17">
    <w:name w:val="P68B1DB1-Akapitzlist17"/>
    <w:basedOn w:val="Akapitzlist1"/>
    <w:rsid w:val="003A4403"/>
    <w:rPr>
      <w:rFonts w:ascii="PT Serif" w:hAnsi="PT Serif"/>
      <w:sz w:val="20"/>
    </w:rPr>
  </w:style>
  <w:style w:type="paragraph" w:customStyle="1" w:styleId="P68B1DB1-NormalWeb8">
    <w:name w:val="P68B1DB1-NormalWeb8"/>
    <w:basedOn w:val="NormalnyWeb"/>
    <w:rsid w:val="003A4403"/>
    <w:pPr>
      <w:pBdr>
        <w:top w:val="nil"/>
        <w:left w:val="nil"/>
        <w:bottom w:val="nil"/>
        <w:right w:val="nil"/>
        <w:between w:val="nil"/>
        <w:bar w:val="nil"/>
      </w:pBdr>
      <w:spacing w:beforeAutospacing="0" w:afterAutospacing="0" w:line="259" w:lineRule="auto"/>
    </w:pPr>
    <w:rPr>
      <w:rFonts w:ascii="PT Serif" w:eastAsia="Arial Unicode MS" w:hAnsi="PT Serif" w:cs="Arial Unicode MS"/>
      <w:color w:val="000000"/>
      <w:sz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mfund.pl/masz-pytanie/" TargetMode="External"/><Relationship Id="rId13" Type="http://schemas.openxmlformats.org/officeDocument/2006/relationships/hyperlink" Target="https://femfund.pl/polityka-prywatnos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akt@femfund.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pl/poznajlicencje-creativecomm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emfund.pl/minigranty" TargetMode="External"/><Relationship Id="rId4" Type="http://schemas.openxmlformats.org/officeDocument/2006/relationships/settings" Target="settings.xml"/><Relationship Id="rId9" Type="http://schemas.openxmlformats.org/officeDocument/2006/relationships/hyperlink" Target="https://femfund.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F69F5-F190-4333-9DF5-8AD90C47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1730</Words>
  <Characters>10386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Gosia</cp:lastModifiedBy>
  <cp:revision>8</cp:revision>
  <cp:lastPrinted>2023-01-10T15:49:00Z</cp:lastPrinted>
  <dcterms:created xsi:type="dcterms:W3CDTF">2022-12-02T08:24:00Z</dcterms:created>
  <dcterms:modified xsi:type="dcterms:W3CDTF">2023-01-10T15:49:00Z</dcterms:modified>
</cp:coreProperties>
</file>